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01B522">
      <w:pPr>
        <w:bidi w:val="0"/>
        <w:rPr>
          <w:rFonts w:hint="default" w:ascii="Times New Roman" w:hAnsi="Times New Roman" w:eastAsia="宋体" w:cs="Times New Roman"/>
          <w:b/>
          <w:bCs/>
          <w:color w:val="FF0000"/>
          <w:spacing w:val="0"/>
        </w:rPr>
      </w:pPr>
    </w:p>
    <w:p w14:paraId="7BD94702">
      <w:pPr>
        <w:bidi w:val="0"/>
        <w:rPr>
          <w:rFonts w:hint="default" w:ascii="Times New Roman" w:hAnsi="Times New Roman" w:eastAsia="宋体" w:cs="Times New Roman"/>
          <w:b/>
          <w:bCs/>
          <w:color w:val="FF0000"/>
          <w:spacing w:val="0"/>
        </w:rPr>
      </w:pPr>
    </w:p>
    <w:p w14:paraId="5074B5FC">
      <w:pPr>
        <w:bidi w:val="0"/>
        <w:rPr>
          <w:rFonts w:hint="default" w:ascii="Times New Roman" w:hAnsi="Times New Roman" w:eastAsia="宋体" w:cs="Times New Roman"/>
          <w:b/>
          <w:bCs/>
          <w:color w:val="FF0000"/>
          <w:spacing w:val="0"/>
        </w:rPr>
      </w:pPr>
    </w:p>
    <w:p w14:paraId="1252EA9B">
      <w:pPr>
        <w:bidi w:val="0"/>
        <w:rPr>
          <w:rFonts w:hint="default" w:ascii="Times New Roman" w:hAnsi="Times New Roman" w:eastAsia="宋体" w:cs="Times New Roman"/>
          <w:b/>
          <w:bCs/>
          <w:color w:val="FF0000"/>
          <w:spacing w:val="0"/>
        </w:rPr>
      </w:pPr>
    </w:p>
    <w:p w14:paraId="748674B2">
      <w:pPr>
        <w:pStyle w:val="2"/>
        <w:shd w:val="clear"/>
        <w:jc w:val="center"/>
        <w:rPr>
          <w:rFonts w:hint="default" w:ascii="Times New Roman" w:hAnsi="Times New Roman" w:eastAsia="宋体" w:cs="Times New Roman"/>
          <w:b/>
          <w:bCs/>
          <w:color w:val="000000" w:themeColor="text1"/>
          <w:spacing w:val="0"/>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2"/>
          <w:sz w:val="44"/>
          <w:szCs w:val="44"/>
          <w:highlight w:val="none"/>
          <w:lang w:val="en-US" w:eastAsia="zh-CN" w:bidi="ar-SA"/>
          <w14:textFill>
            <w14:solidFill>
              <w14:schemeClr w14:val="tx1"/>
            </w14:solidFill>
          </w14:textFill>
        </w:rPr>
        <w:t>企业温室气体排放报告</w:t>
      </w:r>
    </w:p>
    <w:p w14:paraId="79A84FE6">
      <w:pPr>
        <w:bidi w:val="0"/>
        <w:rPr>
          <w:rFonts w:hint="default" w:ascii="Times New Roman" w:hAnsi="Times New Roman" w:eastAsia="宋体" w:cs="Times New Roman"/>
          <w:b/>
          <w:bCs/>
          <w:color w:val="000000" w:themeColor="text1"/>
          <w:spacing w:val="0"/>
          <w14:textFill>
            <w14:solidFill>
              <w14:schemeClr w14:val="tx1"/>
            </w14:solidFill>
          </w14:textFill>
        </w:rPr>
      </w:pPr>
    </w:p>
    <w:p w14:paraId="09F933CA">
      <w:pPr>
        <w:bidi w:val="0"/>
        <w:rPr>
          <w:rFonts w:hint="default" w:ascii="Times New Roman" w:hAnsi="Times New Roman" w:eastAsia="宋体" w:cs="Times New Roman"/>
          <w:b/>
          <w:bCs/>
          <w:color w:val="000000" w:themeColor="text1"/>
          <w:spacing w:val="0"/>
          <w14:textFill>
            <w14:solidFill>
              <w14:schemeClr w14:val="tx1"/>
            </w14:solidFill>
          </w14:textFill>
        </w:rPr>
      </w:pPr>
    </w:p>
    <w:p w14:paraId="7D38DB38">
      <w:pPr>
        <w:bidi w:val="0"/>
        <w:rPr>
          <w:rFonts w:hint="default" w:ascii="Times New Roman" w:hAnsi="Times New Roman" w:eastAsia="宋体" w:cs="Times New Roman"/>
          <w:b/>
          <w:bCs/>
          <w:color w:val="000000" w:themeColor="text1"/>
          <w:spacing w:val="0"/>
          <w14:textFill>
            <w14:solidFill>
              <w14:schemeClr w14:val="tx1"/>
            </w14:solidFill>
          </w14:textFill>
        </w:rPr>
      </w:pPr>
    </w:p>
    <w:p w14:paraId="31E6E785">
      <w:pPr>
        <w:bidi w:val="0"/>
        <w:rPr>
          <w:rFonts w:hint="default" w:ascii="Times New Roman" w:hAnsi="Times New Roman" w:eastAsia="宋体" w:cs="Times New Roman"/>
          <w:b/>
          <w:bCs/>
          <w:color w:val="000000" w:themeColor="text1"/>
          <w:spacing w:val="0"/>
          <w14:textFill>
            <w14:solidFill>
              <w14:schemeClr w14:val="tx1"/>
            </w14:solidFill>
          </w14:textFill>
        </w:rPr>
      </w:pPr>
    </w:p>
    <w:p w14:paraId="170F7C32">
      <w:pPr>
        <w:bidi w:val="0"/>
        <w:rPr>
          <w:rFonts w:hint="default" w:ascii="Times New Roman" w:hAnsi="Times New Roman" w:eastAsia="宋体" w:cs="Times New Roman"/>
          <w:b/>
          <w:bCs/>
          <w:color w:val="000000" w:themeColor="text1"/>
          <w:spacing w:val="0"/>
          <w14:textFill>
            <w14:solidFill>
              <w14:schemeClr w14:val="tx1"/>
            </w14:solidFill>
          </w14:textFill>
        </w:rPr>
      </w:pPr>
    </w:p>
    <w:p w14:paraId="3695A9AF">
      <w:pPr>
        <w:bidi w:val="0"/>
        <w:rPr>
          <w:rFonts w:hint="default" w:ascii="Times New Roman" w:hAnsi="Times New Roman" w:eastAsia="宋体" w:cs="Times New Roman"/>
          <w:b/>
          <w:bCs/>
          <w:color w:val="000000" w:themeColor="text1"/>
          <w:spacing w:val="0"/>
          <w14:textFill>
            <w14:solidFill>
              <w14:schemeClr w14:val="tx1"/>
            </w14:solidFill>
          </w14:textFill>
        </w:rPr>
      </w:pPr>
    </w:p>
    <w:p w14:paraId="78F3B2A3">
      <w:pPr>
        <w:bidi w:val="0"/>
        <w:rPr>
          <w:rFonts w:hint="default" w:ascii="Times New Roman" w:hAnsi="Times New Roman" w:eastAsia="宋体" w:cs="Times New Roman"/>
          <w:b/>
          <w:bCs/>
          <w:color w:val="000000" w:themeColor="text1"/>
          <w:spacing w:val="0"/>
          <w14:textFill>
            <w14:solidFill>
              <w14:schemeClr w14:val="tx1"/>
            </w14:solidFill>
          </w14:textFill>
        </w:rPr>
      </w:pPr>
    </w:p>
    <w:p w14:paraId="232FE1D3">
      <w:pPr>
        <w:bidi w:val="0"/>
        <w:rPr>
          <w:rFonts w:hint="default" w:ascii="Times New Roman" w:hAnsi="Times New Roman" w:eastAsia="宋体" w:cs="Times New Roman"/>
          <w:b/>
          <w:bCs/>
          <w:color w:val="000000" w:themeColor="text1"/>
          <w:spacing w:val="0"/>
          <w14:textFill>
            <w14:solidFill>
              <w14:schemeClr w14:val="tx1"/>
            </w14:solidFill>
          </w14:textFill>
        </w:rPr>
      </w:pPr>
    </w:p>
    <w:p w14:paraId="78D3FFFF">
      <w:pPr>
        <w:bidi w:val="0"/>
        <w:jc w:val="center"/>
        <w:rPr>
          <w:rFonts w:hint="default" w:ascii="Times New Roman" w:hAnsi="Times New Roman" w:eastAsia="宋体" w:cs="Times New Roman"/>
          <w:b/>
          <w:bCs/>
          <w:color w:val="000000" w:themeColor="text1"/>
          <w:spacing w:val="0"/>
          <w14:textFill>
            <w14:solidFill>
              <w14:schemeClr w14:val="tx1"/>
            </w14:solidFill>
          </w14:textFill>
        </w:rPr>
      </w:pPr>
    </w:p>
    <w:p w14:paraId="5EC9DFEA">
      <w:pPr>
        <w:bidi w:val="0"/>
        <w:ind w:left="0" w:leftChars="0" w:firstLine="0" w:firstLineChars="0"/>
        <w:jc w:val="center"/>
        <w:rPr>
          <w:rFonts w:hint="default" w:ascii="Times New Roman" w:hAnsi="Times New Roman" w:eastAsia="宋体" w:cs="Times New Roman"/>
          <w:b/>
          <w:bCs/>
          <w:color w:val="000000" w:themeColor="text1"/>
          <w:spacing w:val="0"/>
          <w:sz w:val="30"/>
          <w:szCs w:val="30"/>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30"/>
          <w:szCs w:val="30"/>
          <w14:textFill>
            <w14:solidFill>
              <w14:schemeClr w14:val="tx1"/>
            </w14:solidFill>
          </w14:textFill>
        </w:rPr>
        <w:t>报告主体（盖章）：</w:t>
      </w:r>
      <w:r>
        <w:rPr>
          <w:rFonts w:hint="default" w:ascii="Times New Roman" w:hAnsi="Times New Roman" w:eastAsia="宋体" w:cs="Times New Roman"/>
          <w:b/>
          <w:bCs/>
          <w:color w:val="000000" w:themeColor="text1"/>
          <w:spacing w:val="0"/>
          <w:sz w:val="30"/>
          <w:szCs w:val="30"/>
          <w:lang w:eastAsia="zh-CN"/>
          <w14:textFill>
            <w14:solidFill>
              <w14:schemeClr w14:val="tx1"/>
            </w14:solidFill>
          </w14:textFill>
        </w:rPr>
        <w:t>泊头市益升机械制造有限责任公司</w:t>
      </w:r>
    </w:p>
    <w:p w14:paraId="504ED69E">
      <w:pPr>
        <w:bidi w:val="0"/>
        <w:ind w:left="0" w:leftChars="0" w:firstLine="0" w:firstLineChars="0"/>
        <w:jc w:val="center"/>
        <w:rPr>
          <w:rFonts w:hint="default" w:ascii="Times New Roman" w:hAnsi="Times New Roman" w:eastAsia="宋体" w:cs="Times New Roman"/>
          <w:b/>
          <w:bCs/>
          <w:color w:val="000000" w:themeColor="text1"/>
          <w:spacing w:val="0"/>
          <w:sz w:val="30"/>
          <w:szCs w:val="30"/>
          <w14:textFill>
            <w14:solidFill>
              <w14:schemeClr w14:val="tx1"/>
            </w14:solidFill>
          </w14:textFill>
        </w:rPr>
      </w:pPr>
      <w:r>
        <w:rPr>
          <w:rFonts w:hint="default" w:ascii="Times New Roman" w:hAnsi="Times New Roman" w:eastAsia="宋体" w:cs="Times New Roman"/>
          <w:b/>
          <w:bCs/>
          <w:color w:val="000000" w:themeColor="text1"/>
          <w:spacing w:val="0"/>
          <w:sz w:val="30"/>
          <w:szCs w:val="30"/>
          <w14:textFill>
            <w14:solidFill>
              <w14:schemeClr w14:val="tx1"/>
            </w14:solidFill>
          </w14:textFill>
        </w:rPr>
        <w:t>报告年度：202</w:t>
      </w:r>
      <w:r>
        <w:rPr>
          <w:rFonts w:hint="default" w:ascii="Times New Roman" w:hAnsi="Times New Roman" w:eastAsia="宋体" w:cs="Times New Roman"/>
          <w:b/>
          <w:bCs/>
          <w:color w:val="000000" w:themeColor="text1"/>
          <w:spacing w:val="0"/>
          <w:sz w:val="30"/>
          <w:szCs w:val="30"/>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sz w:val="30"/>
          <w:szCs w:val="30"/>
          <w14:textFill>
            <w14:solidFill>
              <w14:schemeClr w14:val="tx1"/>
            </w14:solidFill>
          </w14:textFill>
        </w:rPr>
        <w:t>年</w:t>
      </w:r>
    </w:p>
    <w:p w14:paraId="01C7EA87">
      <w:pPr>
        <w:bidi w:val="0"/>
        <w:ind w:left="0" w:leftChars="0" w:firstLine="0" w:firstLineChars="0"/>
        <w:jc w:val="center"/>
        <w:rPr>
          <w:rFonts w:hint="default" w:ascii="Times New Roman" w:hAnsi="Times New Roman" w:eastAsia="宋体" w:cs="Times New Roman"/>
          <w:b/>
          <w:bCs/>
          <w:color w:val="000000" w:themeColor="text1"/>
          <w:spacing w:val="0"/>
          <w:sz w:val="30"/>
          <w:szCs w:val="30"/>
          <w14:textFill>
            <w14:solidFill>
              <w14:schemeClr w14:val="tx1"/>
            </w14:solidFill>
          </w14:textFill>
        </w:rPr>
      </w:pPr>
      <w:r>
        <w:rPr>
          <w:rFonts w:hint="default" w:ascii="Times New Roman" w:hAnsi="Times New Roman" w:eastAsia="宋体" w:cs="Times New Roman"/>
          <w:b/>
          <w:bCs/>
          <w:color w:val="000000" w:themeColor="text1"/>
          <w:spacing w:val="0"/>
          <w:sz w:val="30"/>
          <w:szCs w:val="30"/>
          <w14:textFill>
            <w14:solidFill>
              <w14:schemeClr w14:val="tx1"/>
            </w14:solidFill>
          </w14:textFill>
        </w:rPr>
        <w:t>编制日期：202</w:t>
      </w:r>
      <w:r>
        <w:rPr>
          <w:rFonts w:hint="default" w:ascii="Times New Roman" w:hAnsi="Times New Roman" w:eastAsia="宋体" w:cs="Times New Roman"/>
          <w:b/>
          <w:bCs/>
          <w:color w:val="000000" w:themeColor="text1"/>
          <w:spacing w:val="0"/>
          <w:sz w:val="30"/>
          <w:szCs w:val="30"/>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0"/>
          <w:sz w:val="30"/>
          <w:szCs w:val="30"/>
          <w14:textFill>
            <w14:solidFill>
              <w14:schemeClr w14:val="tx1"/>
            </w14:solidFill>
          </w14:textFill>
        </w:rPr>
        <w:t>年</w:t>
      </w:r>
      <w:r>
        <w:rPr>
          <w:rFonts w:hint="default" w:ascii="Times New Roman" w:hAnsi="Times New Roman" w:eastAsia="宋体" w:cs="Times New Roman"/>
          <w:b/>
          <w:bCs/>
          <w:color w:val="000000" w:themeColor="text1"/>
          <w:spacing w:val="0"/>
          <w:sz w:val="30"/>
          <w:szCs w:val="30"/>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sz w:val="30"/>
          <w:szCs w:val="30"/>
          <w14:textFill>
            <w14:solidFill>
              <w14:schemeClr w14:val="tx1"/>
            </w14:solidFill>
          </w14:textFill>
        </w:rPr>
        <w:t>月</w:t>
      </w:r>
      <w:r>
        <w:rPr>
          <w:rFonts w:hint="eastAsia" w:cs="Times New Roman"/>
          <w:b/>
          <w:bCs/>
          <w:color w:val="000000" w:themeColor="text1"/>
          <w:spacing w:val="0"/>
          <w:sz w:val="30"/>
          <w:szCs w:val="30"/>
          <w:lang w:val="en-US" w:eastAsia="zh-CN"/>
          <w14:textFill>
            <w14:solidFill>
              <w14:schemeClr w14:val="tx1"/>
            </w14:solidFill>
          </w14:textFill>
        </w:rPr>
        <w:t>20</w:t>
      </w:r>
      <w:r>
        <w:rPr>
          <w:rFonts w:hint="default" w:ascii="Times New Roman" w:hAnsi="Times New Roman" w:eastAsia="宋体" w:cs="Times New Roman"/>
          <w:b/>
          <w:bCs/>
          <w:color w:val="000000" w:themeColor="text1"/>
          <w:spacing w:val="0"/>
          <w:sz w:val="30"/>
          <w:szCs w:val="30"/>
          <w14:textFill>
            <w14:solidFill>
              <w14:schemeClr w14:val="tx1"/>
            </w14:solidFill>
          </w14:textFill>
        </w:rPr>
        <w:t>日</w:t>
      </w:r>
    </w:p>
    <w:p w14:paraId="339DD3DC">
      <w:pPr>
        <w:bidi w:val="0"/>
        <w:rPr>
          <w:rFonts w:hint="default" w:ascii="Times New Roman" w:hAnsi="Times New Roman" w:eastAsia="宋体" w:cs="Times New Roman"/>
          <w:color w:val="000000" w:themeColor="text1"/>
          <w:spacing w:val="0"/>
          <w14:textFill>
            <w14:solidFill>
              <w14:schemeClr w14:val="tx1"/>
            </w14:solidFill>
          </w14:textFill>
        </w:rPr>
        <w:sectPr>
          <w:footerReference r:id="rId5" w:type="default"/>
          <w:pgSz w:w="11906" w:h="16838"/>
          <w:pgMar w:top="1440" w:right="1800" w:bottom="1440" w:left="1800" w:header="851" w:footer="992" w:gutter="0"/>
          <w:cols w:space="425" w:num="1"/>
          <w:docGrid w:type="lines" w:linePitch="312" w:charSpace="0"/>
        </w:sectPr>
      </w:pPr>
    </w:p>
    <w:p w14:paraId="64E74698">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14:textFill>
            <w14:solidFill>
              <w14:schemeClr w14:val="tx1"/>
            </w14:solidFill>
          </w14:textFill>
        </w:rPr>
        <w:t>本报告主体核算了202</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4"/>
          <w:szCs w:val="24"/>
          <w14:textFill>
            <w14:solidFill>
              <w14:schemeClr w14:val="tx1"/>
            </w14:solidFill>
          </w14:textFill>
        </w:rPr>
        <w:t>年度温室气体排放量，并填写了相关数据表格。现将有关情况报告如下</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w:t>
      </w:r>
    </w:p>
    <w:p w14:paraId="38586F77">
      <w:pPr>
        <w:pStyle w:val="2"/>
        <w:keepNext/>
        <w:keepLines/>
        <w:pageBreakBefore w:val="0"/>
        <w:widowControl w:val="0"/>
        <w:kinsoku/>
        <w:wordWrap/>
        <w:overflowPunct/>
        <w:topLinePunct w:val="0"/>
        <w:autoSpaceDE/>
        <w:autoSpaceDN/>
        <w:bidi w:val="0"/>
        <w:adjustRightInd/>
        <w:snapToGrid/>
        <w:spacing w:before="120" w:after="120"/>
        <w:textAlignment w:val="auto"/>
        <w:rPr>
          <w:rFonts w:hint="default" w:ascii="Times New Roman" w:hAnsi="Times New Roman" w:eastAsia="宋体" w:cs="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14:textFill>
            <w14:solidFill>
              <w14:schemeClr w14:val="tx1"/>
            </w14:solidFill>
          </w14:textFill>
        </w:rPr>
        <w:t>一、企业基本情况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2487"/>
        <w:gridCol w:w="1816"/>
        <w:gridCol w:w="111"/>
        <w:gridCol w:w="2207"/>
      </w:tblGrid>
      <w:tr w14:paraId="4271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1" w:type="dxa"/>
            <w:noWrap w:val="0"/>
            <w:vAlign w:val="center"/>
          </w:tcPr>
          <w:p w14:paraId="5BA13D28">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rPr>
              <w:t>工厂名称</w:t>
            </w:r>
          </w:p>
        </w:tc>
        <w:tc>
          <w:tcPr>
            <w:tcW w:w="6621" w:type="dxa"/>
            <w:gridSpan w:val="4"/>
            <w:noWrap w:val="0"/>
            <w:vAlign w:val="center"/>
          </w:tcPr>
          <w:p w14:paraId="7D8FE7A0">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lang w:val="en-US" w:eastAsia="zh-CN"/>
              </w:rPr>
              <w:t>泊头市益升机械制造有限责任公司</w:t>
            </w:r>
          </w:p>
        </w:tc>
      </w:tr>
      <w:tr w14:paraId="58FE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901" w:type="dxa"/>
            <w:noWrap w:val="0"/>
            <w:vAlign w:val="center"/>
          </w:tcPr>
          <w:p w14:paraId="364E19A6">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rPr>
              <w:t>工厂地址</w:t>
            </w:r>
          </w:p>
        </w:tc>
        <w:tc>
          <w:tcPr>
            <w:tcW w:w="6621" w:type="dxa"/>
            <w:gridSpan w:val="4"/>
            <w:noWrap w:val="0"/>
            <w:vAlign w:val="center"/>
          </w:tcPr>
          <w:p w14:paraId="34879A51">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lang w:val="en-US" w:eastAsia="zh-CN"/>
              </w:rPr>
              <w:t>河北省泊头市四营</w:t>
            </w:r>
          </w:p>
        </w:tc>
      </w:tr>
      <w:tr w14:paraId="6A3A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1" w:type="dxa"/>
            <w:noWrap w:val="0"/>
            <w:vAlign w:val="center"/>
          </w:tcPr>
          <w:p w14:paraId="53B900DA">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lang w:val="en-US" w:eastAsia="zh-CN"/>
              </w:rPr>
            </w:pPr>
            <w:r>
              <w:rPr>
                <w:rFonts w:hint="default" w:ascii="Times New Roman" w:hAnsi="Times New Roman" w:eastAsia="宋体" w:cs="Times New Roman"/>
                <w:color w:val="000000"/>
                <w:spacing w:val="0"/>
                <w:kern w:val="0"/>
                <w:sz w:val="24"/>
                <w:szCs w:val="24"/>
                <w:highlight w:val="none"/>
                <w:lang w:eastAsia="zh-CN"/>
              </w:rPr>
              <w:t>所属行业</w:t>
            </w:r>
          </w:p>
        </w:tc>
        <w:tc>
          <w:tcPr>
            <w:tcW w:w="2487" w:type="dxa"/>
            <w:noWrap w:val="0"/>
            <w:vAlign w:val="center"/>
          </w:tcPr>
          <w:p w14:paraId="423F4722">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lang w:val="en-US" w:eastAsia="zh-CN"/>
              </w:rPr>
            </w:pPr>
            <w:r>
              <w:rPr>
                <w:rFonts w:hint="default" w:ascii="Times New Roman" w:hAnsi="Times New Roman" w:eastAsia="宋体" w:cs="Times New Roman"/>
                <w:color w:val="000000"/>
                <w:spacing w:val="0"/>
                <w:kern w:val="0"/>
                <w:sz w:val="24"/>
                <w:szCs w:val="24"/>
                <w:highlight w:val="none"/>
                <w:lang w:val="en-US" w:eastAsia="zh-CN"/>
              </w:rPr>
              <w:t>C3391黑色金属铸造</w:t>
            </w:r>
          </w:p>
        </w:tc>
        <w:tc>
          <w:tcPr>
            <w:tcW w:w="1816" w:type="dxa"/>
            <w:noWrap w:val="0"/>
            <w:vAlign w:val="center"/>
          </w:tcPr>
          <w:p w14:paraId="28A86A34">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lang w:eastAsia="zh-CN"/>
              </w:rPr>
            </w:pPr>
            <w:r>
              <w:rPr>
                <w:rFonts w:hint="default" w:ascii="Times New Roman" w:hAnsi="Times New Roman" w:eastAsia="宋体" w:cs="Times New Roman"/>
                <w:color w:val="000000"/>
                <w:spacing w:val="0"/>
                <w:kern w:val="0"/>
                <w:sz w:val="24"/>
                <w:szCs w:val="24"/>
                <w:highlight w:val="none"/>
                <w:lang w:eastAsia="zh-CN"/>
              </w:rPr>
              <w:t>主要产品</w:t>
            </w:r>
          </w:p>
        </w:tc>
        <w:tc>
          <w:tcPr>
            <w:tcW w:w="2318" w:type="dxa"/>
            <w:gridSpan w:val="2"/>
            <w:noWrap w:val="0"/>
            <w:vAlign w:val="center"/>
          </w:tcPr>
          <w:p w14:paraId="39404F01">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lang w:val="en-US"/>
              </w:rPr>
            </w:pPr>
            <w:r>
              <w:rPr>
                <w:rFonts w:hint="default" w:ascii="Times New Roman" w:hAnsi="Times New Roman" w:eastAsia="宋体" w:cs="Times New Roman"/>
                <w:color w:val="000000"/>
                <w:spacing w:val="0"/>
                <w:kern w:val="0"/>
                <w:sz w:val="24"/>
                <w:szCs w:val="24"/>
                <w:highlight w:val="none"/>
                <w:lang w:val="en-US" w:eastAsia="zh-CN"/>
              </w:rPr>
              <w:t>数控机床配件</w:t>
            </w:r>
            <w:r>
              <w:rPr>
                <w:rFonts w:hint="eastAsia" w:cs="Times New Roman"/>
                <w:color w:val="000000"/>
                <w:spacing w:val="0"/>
                <w:kern w:val="0"/>
                <w:sz w:val="24"/>
                <w:szCs w:val="24"/>
                <w:highlight w:val="none"/>
                <w:lang w:val="en-US" w:eastAsia="zh-CN"/>
              </w:rPr>
              <w:t>铸件</w:t>
            </w:r>
          </w:p>
        </w:tc>
      </w:tr>
      <w:tr w14:paraId="3F6E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1" w:type="dxa"/>
            <w:noWrap w:val="0"/>
            <w:vAlign w:val="center"/>
          </w:tcPr>
          <w:p w14:paraId="3900BE2D">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lang w:eastAsia="zh-CN"/>
              </w:rPr>
              <w:t>单位</w:t>
            </w:r>
            <w:r>
              <w:rPr>
                <w:rFonts w:hint="default" w:ascii="Times New Roman" w:hAnsi="Times New Roman" w:eastAsia="宋体" w:cs="Times New Roman"/>
                <w:color w:val="000000"/>
                <w:spacing w:val="0"/>
                <w:kern w:val="0"/>
                <w:sz w:val="24"/>
                <w:szCs w:val="24"/>
                <w:highlight w:val="none"/>
              </w:rPr>
              <w:t>性质</w:t>
            </w:r>
          </w:p>
        </w:tc>
        <w:tc>
          <w:tcPr>
            <w:tcW w:w="6621" w:type="dxa"/>
            <w:gridSpan w:val="4"/>
            <w:noWrap w:val="0"/>
            <w:vAlign w:val="center"/>
          </w:tcPr>
          <w:p w14:paraId="39A76605">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rPr>
              <w:t>内资（□国有□集体√民营）□中外合资□港澳台□外商独资</w:t>
            </w:r>
          </w:p>
        </w:tc>
      </w:tr>
      <w:tr w14:paraId="1113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901" w:type="dxa"/>
            <w:noWrap w:val="0"/>
            <w:vAlign w:val="center"/>
          </w:tcPr>
          <w:p w14:paraId="29E6AE25">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rPr>
              <w:t>统一社会</w:t>
            </w:r>
          </w:p>
          <w:p w14:paraId="52E361AE">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rPr>
              <w:t>信用代码</w:t>
            </w:r>
          </w:p>
        </w:tc>
        <w:tc>
          <w:tcPr>
            <w:tcW w:w="2487" w:type="dxa"/>
            <w:noWrap w:val="0"/>
            <w:vAlign w:val="center"/>
          </w:tcPr>
          <w:p w14:paraId="4200AAE2">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rPr>
              <w:t>9113098167208872XR</w:t>
            </w:r>
          </w:p>
        </w:tc>
        <w:tc>
          <w:tcPr>
            <w:tcW w:w="1927" w:type="dxa"/>
            <w:gridSpan w:val="2"/>
            <w:noWrap w:val="0"/>
            <w:vAlign w:val="center"/>
          </w:tcPr>
          <w:p w14:paraId="73FA486C">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rPr>
              <w:t>法定代表人</w:t>
            </w:r>
          </w:p>
        </w:tc>
        <w:tc>
          <w:tcPr>
            <w:tcW w:w="2207" w:type="dxa"/>
            <w:noWrap w:val="0"/>
            <w:vAlign w:val="center"/>
          </w:tcPr>
          <w:p w14:paraId="39D7043D">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rPr>
              <w:t>李德升</w:t>
            </w:r>
          </w:p>
        </w:tc>
      </w:tr>
      <w:tr w14:paraId="5B7C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1" w:type="dxa"/>
            <w:noWrap w:val="0"/>
            <w:vAlign w:val="center"/>
          </w:tcPr>
          <w:p w14:paraId="3C1C27A9">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lang w:eastAsia="zh-CN"/>
              </w:rPr>
            </w:pPr>
            <w:r>
              <w:rPr>
                <w:rFonts w:hint="default" w:ascii="Times New Roman" w:hAnsi="Times New Roman" w:eastAsia="宋体" w:cs="Times New Roman"/>
                <w:color w:val="000000"/>
                <w:spacing w:val="0"/>
                <w:kern w:val="0"/>
                <w:sz w:val="24"/>
                <w:szCs w:val="24"/>
                <w:highlight w:val="none"/>
              </w:rPr>
              <w:t>联系部门</w:t>
            </w:r>
          </w:p>
        </w:tc>
        <w:tc>
          <w:tcPr>
            <w:tcW w:w="2487" w:type="dxa"/>
            <w:noWrap w:val="0"/>
            <w:vAlign w:val="center"/>
          </w:tcPr>
          <w:p w14:paraId="403D2344">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rPr>
              <w:t>综合办</w:t>
            </w:r>
          </w:p>
        </w:tc>
        <w:tc>
          <w:tcPr>
            <w:tcW w:w="1927" w:type="dxa"/>
            <w:gridSpan w:val="2"/>
            <w:noWrap w:val="0"/>
            <w:vAlign w:val="center"/>
          </w:tcPr>
          <w:p w14:paraId="3498ED8F">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rPr>
              <w:t>联系人</w:t>
            </w:r>
          </w:p>
        </w:tc>
        <w:tc>
          <w:tcPr>
            <w:tcW w:w="2207" w:type="dxa"/>
            <w:noWrap w:val="0"/>
            <w:vAlign w:val="center"/>
          </w:tcPr>
          <w:p w14:paraId="6E7B67A1">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rPr>
              <w:t>时井涛</w:t>
            </w:r>
          </w:p>
        </w:tc>
      </w:tr>
      <w:tr w14:paraId="3272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1" w:type="dxa"/>
            <w:noWrap w:val="0"/>
            <w:vAlign w:val="center"/>
          </w:tcPr>
          <w:p w14:paraId="1BE15C29">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lang w:eastAsia="zh-CN"/>
              </w:rPr>
            </w:pPr>
            <w:r>
              <w:rPr>
                <w:rFonts w:hint="default" w:ascii="Times New Roman" w:hAnsi="Times New Roman" w:eastAsia="宋体" w:cs="Times New Roman"/>
                <w:color w:val="000000"/>
                <w:spacing w:val="0"/>
                <w:kern w:val="0"/>
                <w:sz w:val="24"/>
                <w:szCs w:val="24"/>
                <w:highlight w:val="none"/>
              </w:rPr>
              <w:t>联系电话</w:t>
            </w:r>
          </w:p>
        </w:tc>
        <w:tc>
          <w:tcPr>
            <w:tcW w:w="2487" w:type="dxa"/>
            <w:noWrap w:val="0"/>
            <w:vAlign w:val="center"/>
          </w:tcPr>
          <w:p w14:paraId="422ECA06">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rPr>
              <w:t>0317-8338566</w:t>
            </w:r>
          </w:p>
        </w:tc>
        <w:tc>
          <w:tcPr>
            <w:tcW w:w="1927" w:type="dxa"/>
            <w:gridSpan w:val="2"/>
            <w:noWrap w:val="0"/>
            <w:vAlign w:val="center"/>
          </w:tcPr>
          <w:p w14:paraId="5F7E2C73">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000000"/>
                <w:spacing w:val="0"/>
                <w:kern w:val="0"/>
                <w:sz w:val="24"/>
                <w:szCs w:val="24"/>
                <w:highlight w:val="none"/>
              </w:rPr>
            </w:pPr>
            <w:r>
              <w:rPr>
                <w:rFonts w:hint="default" w:ascii="Times New Roman" w:hAnsi="Times New Roman" w:eastAsia="宋体" w:cs="Times New Roman"/>
                <w:color w:val="000000"/>
                <w:spacing w:val="0"/>
                <w:kern w:val="0"/>
                <w:sz w:val="24"/>
                <w:szCs w:val="24"/>
                <w:highlight w:val="none"/>
              </w:rPr>
              <w:t>电子邮箱</w:t>
            </w:r>
          </w:p>
        </w:tc>
        <w:tc>
          <w:tcPr>
            <w:tcW w:w="2207" w:type="dxa"/>
            <w:noWrap w:val="0"/>
            <w:vAlign w:val="center"/>
          </w:tcPr>
          <w:p w14:paraId="478D717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iCs w:val="0"/>
                <w:color w:val="0563C1"/>
                <w:spacing w:val="0"/>
                <w:kern w:val="2"/>
                <w:sz w:val="24"/>
                <w:szCs w:val="24"/>
                <w:u w:val="single"/>
                <w:lang w:val="en-US" w:eastAsia="zh-CN" w:bidi="ar-SA"/>
              </w:rPr>
            </w:pPr>
            <w:r>
              <w:rPr>
                <w:rFonts w:hint="default" w:ascii="Times New Roman" w:hAnsi="Times New Roman" w:eastAsia="宋体" w:cs="Times New Roman"/>
                <w:i w:val="0"/>
                <w:iCs w:val="0"/>
                <w:spacing w:val="0"/>
                <w:kern w:val="0"/>
                <w:sz w:val="24"/>
                <w:szCs w:val="24"/>
                <w:u w:val="single"/>
                <w:lang w:val="en-US" w:eastAsia="zh-CN" w:bidi="ar"/>
              </w:rPr>
              <w:fldChar w:fldCharType="begin"/>
            </w:r>
            <w:r>
              <w:rPr>
                <w:rFonts w:hint="default" w:ascii="Times New Roman" w:hAnsi="Times New Roman" w:eastAsia="宋体" w:cs="Times New Roman"/>
                <w:i w:val="0"/>
                <w:iCs w:val="0"/>
                <w:spacing w:val="0"/>
                <w:kern w:val="0"/>
                <w:sz w:val="24"/>
                <w:szCs w:val="24"/>
                <w:u w:val="single"/>
                <w:lang w:val="en-US" w:eastAsia="zh-CN" w:bidi="ar"/>
              </w:rPr>
              <w:instrText xml:space="preserve"> HYPERLINK "mailto:yishengjixie2013@163.com" </w:instrText>
            </w:r>
            <w:r>
              <w:rPr>
                <w:rFonts w:hint="default" w:ascii="Times New Roman" w:hAnsi="Times New Roman" w:eastAsia="宋体" w:cs="Times New Roman"/>
                <w:i w:val="0"/>
                <w:iCs w:val="0"/>
                <w:spacing w:val="0"/>
                <w:kern w:val="0"/>
                <w:sz w:val="24"/>
                <w:szCs w:val="24"/>
                <w:u w:val="single"/>
                <w:lang w:val="en-US" w:eastAsia="zh-CN" w:bidi="ar"/>
              </w:rPr>
              <w:fldChar w:fldCharType="separate"/>
            </w:r>
            <w:r>
              <w:rPr>
                <w:rStyle w:val="12"/>
                <w:rFonts w:hint="default" w:ascii="Times New Roman" w:hAnsi="Times New Roman" w:eastAsia="宋体" w:cs="Times New Roman"/>
                <w:i w:val="0"/>
                <w:iCs w:val="0"/>
                <w:spacing w:val="0"/>
                <w:sz w:val="24"/>
                <w:szCs w:val="24"/>
                <w:u w:val="single"/>
              </w:rPr>
              <w:t>yishengjixie2013@163.com</w:t>
            </w:r>
            <w:r>
              <w:rPr>
                <w:rFonts w:hint="default" w:ascii="Times New Roman" w:hAnsi="Times New Roman" w:eastAsia="宋体" w:cs="Times New Roman"/>
                <w:i w:val="0"/>
                <w:iCs w:val="0"/>
                <w:spacing w:val="0"/>
                <w:kern w:val="0"/>
                <w:sz w:val="24"/>
                <w:szCs w:val="24"/>
                <w:u w:val="single"/>
                <w:lang w:val="en-US" w:eastAsia="zh-CN" w:bidi="ar"/>
              </w:rPr>
              <w:fldChar w:fldCharType="end"/>
            </w:r>
          </w:p>
        </w:tc>
      </w:tr>
    </w:tbl>
    <w:p w14:paraId="14EFA0F0">
      <w:pPr>
        <w:rPr>
          <w:rFonts w:hint="default" w:ascii="Times New Roman" w:hAnsi="Times New Roman" w:eastAsia="宋体" w:cs="Times New Roman"/>
          <w:spacing w:val="0"/>
        </w:rPr>
        <w:sectPr>
          <w:footerReference r:id="rId6" w:type="default"/>
          <w:pgSz w:w="11906" w:h="16838"/>
          <w:pgMar w:top="1440" w:right="1800" w:bottom="1440" w:left="1800" w:header="851" w:footer="992" w:gutter="0"/>
          <w:pgNumType w:fmt="decimal" w:start="1"/>
          <w:cols w:space="425" w:num="1"/>
          <w:docGrid w:type="lines" w:linePitch="312" w:charSpace="0"/>
        </w:sectPr>
      </w:pPr>
    </w:p>
    <w:p w14:paraId="7D56F0CF">
      <w:pPr>
        <w:pStyle w:val="2"/>
        <w:keepNext/>
        <w:keepLines/>
        <w:pageBreakBefore w:val="0"/>
        <w:widowControl w:val="0"/>
        <w:kinsoku/>
        <w:wordWrap/>
        <w:overflowPunct/>
        <w:topLinePunct w:val="0"/>
        <w:autoSpaceDE/>
        <w:autoSpaceDN/>
        <w:bidi w:val="0"/>
        <w:adjustRightInd/>
        <w:snapToGrid/>
        <w:spacing w:before="120" w:after="120"/>
        <w:textAlignment w:val="auto"/>
        <w:rPr>
          <w:rFonts w:hint="default" w:ascii="Times New Roman" w:hAnsi="Times New Roman" w:eastAsia="宋体" w:cs="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14:textFill>
            <w14:solidFill>
              <w14:schemeClr w14:val="tx1"/>
            </w14:solidFill>
          </w14:textFill>
        </w:rPr>
        <w:t>二、温室气体排放情况</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8C0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vAlign w:val="center"/>
          </w:tcPr>
          <w:p w14:paraId="2B7AAB3B">
            <w:pPr>
              <w:keepNext w:val="0"/>
              <w:keepLines w:val="0"/>
              <w:pageBreakBefore w:val="0"/>
              <w:widowControl w:val="0"/>
              <w:kinsoku/>
              <w:wordWrap/>
              <w:overflowPunct/>
              <w:topLinePunct w:val="0"/>
              <w:autoSpaceDE/>
              <w:autoSpaceDN/>
              <w:bidi w:val="0"/>
              <w:adjustRightInd/>
              <w:snapToGrid/>
              <w:spacing w:line="480" w:lineRule="atLeast"/>
              <w:ind w:firstLine="0" w:firstLineChars="0"/>
              <w:jc w:val="both"/>
              <w:textAlignment w:val="auto"/>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2.1企业概况及核算边界</w:t>
            </w:r>
          </w:p>
        </w:tc>
      </w:tr>
      <w:tr w14:paraId="78F0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vAlign w:val="center"/>
          </w:tcPr>
          <w:p w14:paraId="619D99E1">
            <w:pPr>
              <w:keepNext w:val="0"/>
              <w:keepLines w:val="0"/>
              <w:pageBreakBefore w:val="0"/>
              <w:widowControl w:val="0"/>
              <w:kinsoku/>
              <w:wordWrap/>
              <w:overflowPunct/>
              <w:topLinePunct w:val="0"/>
              <w:autoSpaceDE/>
              <w:autoSpaceDN/>
              <w:bidi w:val="0"/>
              <w:adjustRightInd/>
              <w:snapToGrid/>
              <w:spacing w:line="480" w:lineRule="atLeast"/>
              <w:ind w:left="0" w:leftChars="0" w:firstLine="0" w:firstLineChars="0"/>
              <w:jc w:val="left"/>
              <w:textAlignment w:val="auto"/>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2.1.1 企业概况</w:t>
            </w:r>
          </w:p>
          <w:p w14:paraId="60B7EB1E">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泊头市益升机械制造有限责任公司坐落于“铸造之乡”泊头市四营镇，毗邻106国道，地理位置优越，交通便利。是一家集通用机械铸造、雕刻机配件制造、各种类型汽车模具、通用模具铸造、精密铸件加工为一体的大型机械制造企业。通过了国家IS09001认证、GJB9001B、IS014000、AS17000等质量管理体系认证，并获得了国家工业和信息</w:t>
            </w:r>
            <w:r>
              <w:rPr>
                <w:rFonts w:hint="eastAsia" w:ascii="Times New Roman" w:hAnsi="Times New Roman" w:cs="Times New Roman"/>
                <w:color w:val="000000" w:themeColor="text1"/>
                <w:spacing w:val="0"/>
                <w:sz w:val="24"/>
                <w:szCs w:val="24"/>
                <w:lang w:val="en-US" w:eastAsia="zh-CN"/>
                <w14:textFill>
                  <w14:solidFill>
                    <w14:schemeClr w14:val="tx1"/>
                  </w14:solidFill>
                </w14:textFill>
              </w:rPr>
              <w:t>化局</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《铸造行业准入证明》企业协会会员单位，中国铸造产品出口基地会员企业，河北诚信企业证书等多个荣誉奖牌。</w:t>
            </w:r>
          </w:p>
          <w:p w14:paraId="534A95BD">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2013年，企业建设年产数控铣床机床整机及配套设备500台项目，打造泊头西部的数控铣床生产基地。2018年投资1400万元实施了年产17000吨的铸件技改项目。企业占地面积约44500平方米，现有职工人数145人，其中工程技术人员15人，管理人员18人，生产作业人员112人。公司正在投资建设二期厂房，二期项目位于河北省泊头市四营工业园区，126乡道西侧，用地性质为工业用地，总面积50亩，建筑面积约21400㎡，包括一座厂房和绿化用地，厂房由三个车间组成，分别为数字化真空铸造生产车间、消失模制造车间、物料存放车间及配套的工具库房、检验中心、办公区域等。二期项目将购置美国福康自动造型线、环保除尘设备、机器人清理设备，采用新技术、新铸造工艺，实现铸造产业再升级，全面满足“绿色铸造”要求，公司将逐渐引领绿色铸造行业的发展，打造国内龙头铸造企业。</w:t>
            </w:r>
          </w:p>
          <w:p w14:paraId="2129C265">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泊头市益升机械制造有限责任公司取得了产品质量管理体系认证、环境管理体系认证、武器装备质量管理体系认证和职业健康安全体系认证，从硬件和软实力上的配置达到了国际水准。</w:t>
            </w:r>
          </w:p>
          <w:p w14:paraId="3BD9E94A">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公司先后荣获“河北省诚信企业”、“河北省行业重点推荐优秀单位”、“河北省军民融合企业”、“中国绿色铸造示范企业“等荣誉证书。经中国铸造协会核准，泊头市益升机械制造有限责任公司为中国铸造协会第九届理事单位。根据《铸造企业规范条件》（</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T/CFA 0310021-2023）、《铸造企业规范公告管理办法》，经审核，</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泊头市益升机械制造有限责任公司为《铸造企业规范条件》达标企业。</w:t>
            </w:r>
          </w:p>
          <w:p w14:paraId="0FDA1A95">
            <w:pPr>
              <w:keepNext w:val="0"/>
              <w:keepLines w:val="0"/>
              <w:pageBreakBefore w:val="0"/>
              <w:widowControl w:val="0"/>
              <w:kinsoku/>
              <w:wordWrap/>
              <w:overflowPunct/>
              <w:topLinePunct w:val="0"/>
              <w:autoSpaceDE/>
              <w:autoSpaceDN/>
              <w:bidi w:val="0"/>
              <w:adjustRightInd/>
              <w:snapToGrid/>
              <w:spacing w:line="480" w:lineRule="atLeast"/>
              <w:ind w:left="0" w:leftChars="0" w:firstLine="0" w:firstLineChars="0"/>
              <w:jc w:val="left"/>
              <w:textAlignment w:val="auto"/>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2.1.</w:t>
            </w:r>
            <w:r>
              <w:rPr>
                <w:rFonts w:hint="eastAsia"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公司产品生产工艺流程</w:t>
            </w:r>
          </w:p>
          <w:p w14:paraId="4DD136BD">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泊头市益升机械制造有限责任公司</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主要产品为</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数控铣床机床整机及配套设备</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，公司产品范围覆盖全国、部分产品远销亚非欧三十多个国家，现已和数十家大型国企、军工企业、跨国公司建立紧密的合作关系，极受市场认可及欢迎。</w:t>
            </w:r>
          </w:p>
          <w:p w14:paraId="6BEC7DDD">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泊头市益升机械制造有限责任公司坚持以客户为中心，树立了良好的企业理念：“科技是发展方向，诚信是企业保障，质量是经济效益，环保是社会责任”，用心为客户生产每一份产品。</w:t>
            </w:r>
          </w:p>
          <w:p w14:paraId="00CD6866">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生产环节,</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该企业采用高品质原材料，电炉使用的是应达电炉，配备达标集烟除尘设备。呋喃树脂自硬砂型，配套有旧砂再利用生产线，全封闭管式气动送砂，无尘，无外落砂，旧砂回收率达95%。采用山东开泰集团生产的封闭式清理设备，全自动化，设计三工位清理，提高了铸件表面效果，并配备专用除尘设备达标排放，清理打磨工作在专用打磨室内完成，防止有效防止粉尘外溢。喷漆房采用上吹下吸的送风结构，保护操作者的身体健康。</w:t>
            </w:r>
          </w:p>
          <w:p w14:paraId="509331A6">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具体工艺流程及设备状况如下：</w:t>
            </w:r>
          </w:p>
          <w:p w14:paraId="500EAFA6">
            <w:pPr>
              <w:pStyle w:val="17"/>
              <w:ind w:left="0" w:leftChars="0" w:firstLine="0" w:firstLineChars="0"/>
              <w:jc w:val="both"/>
              <w:rPr>
                <w:rFonts w:hint="default" w:ascii="Times New Roman" w:hAnsi="Times New Roman" w:eastAsia="宋体" w:cs="Times New Roman"/>
                <w:spacing w:val="0"/>
                <w:sz w:val="24"/>
                <w:szCs w:val="24"/>
                <w:lang w:eastAsia="zh-CN"/>
              </w:rPr>
            </w:pPr>
            <w:r>
              <w:rPr>
                <w:rFonts w:hint="default" w:ascii="Times New Roman" w:hAnsi="Times New Roman" w:eastAsia="宋体" w:cs="Times New Roman"/>
                <w:spacing w:val="0"/>
                <w:sz w:val="24"/>
                <w:szCs w:val="24"/>
                <w:lang w:val="en-US" w:eastAsia="zh-CN"/>
              </w:rPr>
              <w:drawing>
                <wp:inline distT="0" distB="0" distL="114300" distR="114300">
                  <wp:extent cx="5052060" cy="2958465"/>
                  <wp:effectExtent l="0" t="0" r="15240" b="13335"/>
                  <wp:docPr id="2" name="图片 1"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工艺流程图"/>
                          <pic:cNvPicPr>
                            <a:picLocks noChangeAspect="1"/>
                          </pic:cNvPicPr>
                        </pic:nvPicPr>
                        <pic:blipFill>
                          <a:blip r:embed="rId8"/>
                          <a:stretch>
                            <a:fillRect/>
                          </a:stretch>
                        </pic:blipFill>
                        <pic:spPr>
                          <a:xfrm>
                            <a:off x="0" y="0"/>
                            <a:ext cx="5052060" cy="2958465"/>
                          </a:xfrm>
                          <a:prstGeom prst="rect">
                            <a:avLst/>
                          </a:prstGeom>
                          <a:noFill/>
                          <a:ln>
                            <a:noFill/>
                          </a:ln>
                        </pic:spPr>
                      </pic:pic>
                    </a:graphicData>
                  </a:graphic>
                </wp:inline>
              </w:drawing>
            </w:r>
          </w:p>
          <w:p w14:paraId="38940C37">
            <w:pPr>
              <w:pStyle w:val="17"/>
              <w:rPr>
                <w:rFonts w:hint="default" w:ascii="Times New Roman" w:hAnsi="Times New Roman" w:eastAsia="宋体" w:cs="Times New Roman"/>
                <w:b/>
                <w:spacing w:val="0"/>
                <w:sz w:val="24"/>
                <w:szCs w:val="24"/>
              </w:rPr>
            </w:pPr>
            <w:r>
              <w:rPr>
                <w:rFonts w:hint="default" w:ascii="Times New Roman" w:hAnsi="Times New Roman" w:eastAsia="宋体" w:cs="Times New Roman"/>
                <w:b/>
                <w:spacing w:val="0"/>
                <w:sz w:val="24"/>
                <w:szCs w:val="24"/>
              </w:rPr>
              <w:t>图</w:t>
            </w:r>
            <w:r>
              <w:rPr>
                <w:rFonts w:hint="eastAsia" w:ascii="Times New Roman" w:hAnsi="Times New Roman" w:eastAsia="宋体" w:cs="Times New Roman"/>
                <w:b/>
                <w:spacing w:val="0"/>
                <w:sz w:val="24"/>
                <w:szCs w:val="24"/>
                <w:lang w:val="en-US" w:eastAsia="zh-CN"/>
              </w:rPr>
              <w:t>2</w:t>
            </w:r>
            <w:r>
              <w:rPr>
                <w:rFonts w:hint="default" w:ascii="Times New Roman" w:hAnsi="Times New Roman" w:eastAsia="宋体" w:cs="Times New Roman"/>
                <w:b/>
                <w:spacing w:val="0"/>
                <w:sz w:val="24"/>
                <w:szCs w:val="24"/>
                <w:lang w:val="en-US" w:eastAsia="zh-CN"/>
              </w:rPr>
              <w:t>-1</w:t>
            </w:r>
            <w:r>
              <w:rPr>
                <w:rFonts w:hint="default" w:ascii="Times New Roman" w:hAnsi="Times New Roman" w:eastAsia="宋体" w:cs="Times New Roman"/>
                <w:b/>
                <w:spacing w:val="0"/>
                <w:sz w:val="24"/>
                <w:szCs w:val="24"/>
              </w:rPr>
              <w:t xml:space="preserve"> </w:t>
            </w:r>
            <w:r>
              <w:rPr>
                <w:rFonts w:hint="default" w:ascii="Times New Roman" w:hAnsi="Times New Roman" w:eastAsia="宋体" w:cs="Times New Roman"/>
                <w:b/>
                <w:spacing w:val="0"/>
                <w:sz w:val="24"/>
                <w:szCs w:val="24"/>
                <w:lang w:val="en-US" w:eastAsia="zh-CN"/>
              </w:rPr>
              <w:t xml:space="preserve">  生产</w:t>
            </w:r>
            <w:r>
              <w:rPr>
                <w:rFonts w:hint="default" w:ascii="Times New Roman" w:hAnsi="Times New Roman" w:eastAsia="宋体" w:cs="Times New Roman"/>
                <w:b/>
                <w:spacing w:val="0"/>
                <w:sz w:val="24"/>
                <w:szCs w:val="24"/>
              </w:rPr>
              <w:t>工艺流程图</w:t>
            </w:r>
          </w:p>
          <w:p w14:paraId="33BA2F2B">
            <w:pPr>
              <w:pStyle w:val="17"/>
              <w:rPr>
                <w:rFonts w:hint="default" w:ascii="Times New Roman" w:hAnsi="Times New Roman" w:eastAsia="宋体" w:cs="Times New Roman"/>
                <w:b/>
                <w:spacing w:val="0"/>
                <w:sz w:val="24"/>
                <w:szCs w:val="24"/>
                <w:lang w:eastAsia="zh-CN"/>
              </w:rPr>
            </w:pPr>
          </w:p>
          <w:p w14:paraId="609AEF90">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项目生产工艺主要分为以下</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六</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个工序：</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电炉熔化、混砂造型、合箱、浇注、落砂、抛丸打磨</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。其中</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混砂造型、流涂、合箱、浇铸在同一区域进行、产污皆为颗粒物、非甲烷总烃、甲醛，故此次技改糟心、浇铸、流涂经同一套废气治理措施处理。</w:t>
            </w:r>
          </w:p>
          <w:p w14:paraId="62A1E39C">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（1）</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电炉熔化：将原料放入电炉内加热熔化，得到熔融的铁水。此工序会产生噪声、熔化烟尘和炉渣。此次技改为确保电炉除尘设备的稳定性，设置两套废气治理设施，相互备用。</w:t>
            </w:r>
          </w:p>
          <w:p w14:paraId="3A511AEA">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混砂造型：根据图纸要求利用模具和树脂砂制作砂型，树脂砂需把原砂和树脂、固化剂混合均匀后放入沙箱中制作砂型。</w:t>
            </w:r>
          </w:p>
          <w:p w14:paraId="5056FE06">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合箱：固化后把砂型两半或更多砂型组合到一起，组成可浇铸的砂型。</w:t>
            </w:r>
          </w:p>
          <w:p w14:paraId="7FE2F839">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（4）</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浇铸：将电炉熔融好的铁水由浇口处倒入砂型中进行浇铸，然后自然冷却。</w:t>
            </w:r>
          </w:p>
          <w:p w14:paraId="74C235BB">
            <w:pPr>
              <w:bidi w:val="0"/>
              <w:spacing w:line="360" w:lineRule="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（5）</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落砂：铸件冷却后落砂使铸件砂型分离，取出铸件。此次技改为确保落砂除尘设备的稳定性，设置两套废气治理设施，相互备用。</w:t>
            </w:r>
          </w:p>
          <w:p w14:paraId="11EBCDD0">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抛丸打磨：抛丸清理是利用抛丸器抛出的高速弹丸清理或强化铸件表面的一种表面处理工艺。部分经过抛丸的铸件需经过人工打磨。本次技改项目一台抛丸机抛丸与部分打磨废气经一套废气治理措施处理，部分打磨室废气经另一套废气治理措施处理。</w:t>
            </w:r>
          </w:p>
          <w:p w14:paraId="41F85D6F">
            <w:pPr>
              <w:keepNext w:val="0"/>
              <w:keepLines w:val="0"/>
              <w:pageBreakBefore w:val="0"/>
              <w:widowControl w:val="0"/>
              <w:kinsoku/>
              <w:wordWrap/>
              <w:overflowPunct/>
              <w:topLinePunct w:val="0"/>
              <w:autoSpaceDE/>
              <w:autoSpaceDN/>
              <w:bidi w:val="0"/>
              <w:adjustRightInd/>
              <w:snapToGrid/>
              <w:spacing w:line="480" w:lineRule="atLeast"/>
              <w:ind w:left="0" w:leftChars="0" w:firstLine="0" w:firstLineChars="0"/>
              <w:jc w:val="left"/>
              <w:textAlignment w:val="auto"/>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2.1.</w:t>
            </w:r>
            <w:r>
              <w:rPr>
                <w:rFonts w:hint="eastAsia"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 xml:space="preserve"> 企业核算边界</w:t>
            </w:r>
          </w:p>
          <w:p w14:paraId="37A440CE">
            <w:pPr>
              <w:bidi w:val="0"/>
              <w:spacing w:line="360" w:lineRule="auto"/>
              <w:rPr>
                <w:rFonts w:hint="default" w:ascii="Times New Roman" w:hAnsi="Times New Roman" w:eastAsia="宋体" w:cs="Times New Roman"/>
                <w:b w:val="0"/>
                <w:bCs w:val="0"/>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企业核算边界包括：泊头市益升机械制造有限责任公司的主要生产过程、辅助生产过程、附属生产过程相关的能源管理活动。</w:t>
            </w:r>
          </w:p>
        </w:tc>
      </w:tr>
      <w:tr w14:paraId="40BA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vAlign w:val="center"/>
          </w:tcPr>
          <w:p w14:paraId="7C1ECF44">
            <w:pPr>
              <w:keepNext w:val="0"/>
              <w:keepLines w:val="0"/>
              <w:pageBreakBefore w:val="0"/>
              <w:widowControl w:val="0"/>
              <w:kinsoku/>
              <w:wordWrap/>
              <w:overflowPunct/>
              <w:topLinePunct w:val="0"/>
              <w:autoSpaceDE/>
              <w:autoSpaceDN/>
              <w:bidi w:val="0"/>
              <w:adjustRightInd/>
              <w:snapToGrid/>
              <w:spacing w:line="480" w:lineRule="atLeast"/>
              <w:ind w:firstLine="0" w:firstLineChars="0"/>
              <w:jc w:val="left"/>
              <w:textAlignment w:val="auto"/>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2.2温室气体排放相关过程及主要设施</w:t>
            </w:r>
          </w:p>
        </w:tc>
      </w:tr>
      <w:tr w14:paraId="3E41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6" w:hRule="atLeast"/>
        </w:trPr>
        <w:tc>
          <w:tcPr>
            <w:tcW w:w="5000" w:type="pct"/>
            <w:vAlign w:val="center"/>
          </w:tcPr>
          <w:p w14:paraId="725E67E2">
            <w:pPr>
              <w:keepNext w:val="0"/>
              <w:keepLines w:val="0"/>
              <w:pageBreakBefore w:val="0"/>
              <w:widowControl w:val="0"/>
              <w:kinsoku/>
              <w:wordWrap/>
              <w:overflowPunct/>
              <w:topLinePunct w:val="0"/>
              <w:autoSpaceDE/>
              <w:autoSpaceDN/>
              <w:bidi w:val="0"/>
              <w:adjustRightInd/>
              <w:snapToGrid/>
              <w:spacing w:line="480" w:lineRule="atLeast"/>
              <w:ind w:firstLine="0" w:firstLineChars="0"/>
              <w:jc w:val="left"/>
              <w:textAlignment w:val="auto"/>
              <w:rPr>
                <w:rFonts w:hint="default" w:ascii="Times New Roman" w:hAnsi="Times New Roman" w:eastAsia="宋体" w:cs="Times New Roman"/>
                <w:b/>
                <w:bCs/>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highlight w:val="none"/>
                <w:vertAlign w:val="baseline"/>
                <w:lang w:val="en-US" w:eastAsia="zh-CN"/>
                <w14:textFill>
                  <w14:solidFill>
                    <w14:schemeClr w14:val="tx1"/>
                  </w14:solidFill>
                </w14:textFill>
              </w:rPr>
              <w:t>2.2.1 公司产生温室气体排放的过程</w:t>
            </w:r>
          </w:p>
          <w:p w14:paraId="4804127A">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（1）化石燃料燃烧造成的排放</w:t>
            </w:r>
          </w:p>
          <w:p w14:paraId="0310238E">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eastAsia" w:cs="Times New Roman"/>
                <w:color w:val="000000" w:themeColor="text1"/>
                <w:spacing w:val="0"/>
                <w:sz w:val="24"/>
                <w:szCs w:val="24"/>
                <w:lang w:val="en-US" w:eastAsia="zh-CN"/>
                <w14:textFill>
                  <w14:solidFill>
                    <w14:schemeClr w14:val="tx1"/>
                  </w14:solidFill>
                </w14:textFill>
              </w:rPr>
              <w:t>不涉及</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w:t>
            </w:r>
          </w:p>
          <w:p w14:paraId="53BA12BB">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（2）工业生产过程排放</w:t>
            </w:r>
          </w:p>
          <w:p w14:paraId="01B0094E">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公司生产过程暂不涉及温室气体排放。</w:t>
            </w:r>
          </w:p>
          <w:p w14:paraId="1E06505D">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（3）废水处理过程排放</w:t>
            </w:r>
          </w:p>
          <w:p w14:paraId="37DB437C">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企业生产过程污水处理不涉及厌氧处理甲烷的排放。</w:t>
            </w:r>
          </w:p>
          <w:p w14:paraId="4D974089">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（4）净购入电力的活动水平</w:t>
            </w:r>
          </w:p>
          <w:p w14:paraId="1D83FFD6">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包括生产过程生产设备、附属设备及附属设施用电等。</w:t>
            </w:r>
          </w:p>
          <w:p w14:paraId="32F1EB4A">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（5）净购入热力的活动水平</w:t>
            </w:r>
          </w:p>
          <w:p w14:paraId="1774C1FE">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包括生产过程生产设备、附属设备及附属设施用热等。</w:t>
            </w:r>
          </w:p>
          <w:p w14:paraId="7C9CA491">
            <w:pPr>
              <w:keepNext w:val="0"/>
              <w:keepLines w:val="0"/>
              <w:pageBreakBefore w:val="0"/>
              <w:widowControl w:val="0"/>
              <w:kinsoku/>
              <w:wordWrap/>
              <w:overflowPunct/>
              <w:topLinePunct w:val="0"/>
              <w:autoSpaceDE/>
              <w:autoSpaceDN/>
              <w:bidi w:val="0"/>
              <w:adjustRightInd/>
              <w:snapToGrid/>
              <w:spacing w:line="480" w:lineRule="atLeast"/>
              <w:ind w:left="0" w:leftChars="0" w:firstLine="0" w:firstLineChars="0"/>
              <w:jc w:val="left"/>
              <w:textAlignment w:val="auto"/>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2.2.2 生产过程中包括的主要排放设施</w:t>
            </w:r>
          </w:p>
          <w:p w14:paraId="17F763B9">
            <w:pPr>
              <w:bidi w:val="0"/>
              <w:spacing w:line="360" w:lineRule="auto"/>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主要用能设备包括球磨机、热风炉、隧道窑及配套风机电机等设备。</w:t>
            </w:r>
          </w:p>
        </w:tc>
      </w:tr>
      <w:tr w14:paraId="2A6F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vAlign w:val="center"/>
          </w:tcPr>
          <w:p w14:paraId="245FD0A3">
            <w:pPr>
              <w:keepNext w:val="0"/>
              <w:keepLines w:val="0"/>
              <w:pageBreakBefore w:val="0"/>
              <w:widowControl w:val="0"/>
              <w:kinsoku/>
              <w:wordWrap/>
              <w:overflowPunct/>
              <w:topLinePunct w:val="0"/>
              <w:autoSpaceDE/>
              <w:autoSpaceDN/>
              <w:bidi w:val="0"/>
              <w:adjustRightInd/>
              <w:snapToGrid/>
              <w:spacing w:line="480" w:lineRule="atLeast"/>
              <w:ind w:firstLine="0" w:firstLineChars="0"/>
              <w:jc w:val="left"/>
              <w:textAlignment w:val="auto"/>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2.3质量保证和文件存档制度</w:t>
            </w:r>
          </w:p>
        </w:tc>
      </w:tr>
      <w:tr w14:paraId="20A7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5000" w:type="pct"/>
            <w:vAlign w:val="center"/>
          </w:tcPr>
          <w:p w14:paraId="0740ABA9">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公司温室气体排放年度核算和报告的质量保证和文件存档制度，主要包括以下方面的工作：</w:t>
            </w:r>
          </w:p>
          <w:p w14:paraId="527425D8">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安排了专门人员负责企业温室气体排放核算和报告存档工作。</w:t>
            </w:r>
          </w:p>
          <w:p w14:paraId="1607ACB7">
            <w:pPr>
              <w:bidi w:val="0"/>
              <w:spacing w:line="360" w:lineRule="auto"/>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建立健全了企业温室气体和能源消耗台账记录。</w:t>
            </w:r>
          </w:p>
          <w:p w14:paraId="6B9E2D64">
            <w:pPr>
              <w:bidi w:val="0"/>
              <w:spacing w:line="360" w:lineRule="auto"/>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企业建立</w:t>
            </w:r>
            <w:r>
              <w:rPr>
                <w:rFonts w:hint="eastAsia" w:cs="Times New Roman"/>
                <w:color w:val="000000" w:themeColor="text1"/>
                <w:spacing w:val="0"/>
                <w:sz w:val="24"/>
                <w:szCs w:val="24"/>
                <w:lang w:val="en-US" w:eastAsia="zh-CN"/>
                <w14:textFill>
                  <w14:solidFill>
                    <w14:schemeClr w14:val="tx1"/>
                  </w14:solidFill>
                </w14:textFill>
              </w:rPr>
              <w:t>了</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健全温室气体数据和温室气体排放报告内部审核制度。</w:t>
            </w:r>
          </w:p>
        </w:tc>
      </w:tr>
      <w:tr w14:paraId="7D9E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vAlign w:val="center"/>
          </w:tcPr>
          <w:p w14:paraId="1F9AB1FA">
            <w:pPr>
              <w:keepNext w:val="0"/>
              <w:keepLines w:val="0"/>
              <w:pageBreakBefore w:val="0"/>
              <w:widowControl w:val="0"/>
              <w:kinsoku/>
              <w:wordWrap/>
              <w:overflowPunct/>
              <w:topLinePunct w:val="0"/>
              <w:autoSpaceDE/>
              <w:autoSpaceDN/>
              <w:bidi w:val="0"/>
              <w:adjustRightInd/>
              <w:snapToGrid/>
              <w:spacing w:line="480" w:lineRule="atLeast"/>
              <w:ind w:firstLine="0" w:firstLineChars="0"/>
              <w:jc w:val="left"/>
              <w:textAlignment w:val="auto"/>
              <w:rPr>
                <w:rFonts w:hint="default" w:ascii="Times New Roman" w:hAnsi="Times New Roman" w:eastAsia="宋体" w:cs="Times New Roman"/>
                <w:b/>
                <w:bCs/>
                <w:color w:val="FF0000"/>
                <w:spacing w:val="0"/>
                <w:sz w:val="24"/>
                <w:szCs w:val="24"/>
                <w:vertAlign w:val="baseline"/>
                <w:lang w:val="en-US" w:eastAsia="zh-CN"/>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2.</w:t>
            </w:r>
            <w:r>
              <w:rPr>
                <w:rFonts w:hint="eastAsia"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温室气体排放</w:t>
            </w:r>
          </w:p>
        </w:tc>
      </w:tr>
      <w:tr w14:paraId="1B58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3" w:hRule="atLeast"/>
        </w:trPr>
        <w:tc>
          <w:tcPr>
            <w:tcW w:w="5000" w:type="pct"/>
            <w:vAlign w:val="top"/>
          </w:tcPr>
          <w:p w14:paraId="78559E27">
            <w:pPr>
              <w:keepNext w:val="0"/>
              <w:keepLines w:val="0"/>
              <w:pageBreakBefore w:val="0"/>
              <w:widowControl w:val="0"/>
              <w:kinsoku/>
              <w:wordWrap/>
              <w:overflowPunct/>
              <w:topLinePunct w:val="0"/>
              <w:autoSpaceDE/>
              <w:autoSpaceDN/>
              <w:bidi w:val="0"/>
              <w:adjustRightInd/>
              <w:snapToGrid/>
              <w:spacing w:line="480" w:lineRule="atLeast"/>
              <w:ind w:left="0" w:leftChars="0" w:firstLine="0" w:firstLineChars="0"/>
              <w:jc w:val="center"/>
              <w:textAlignment w:val="auto"/>
              <w:rPr>
                <w:rFonts w:hint="default" w:ascii="Times New Roman" w:hAnsi="Times New Roman" w:eastAsia="宋体" w:cs="Times New Roman"/>
                <w:b/>
                <w:bCs/>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highlight w:val="none"/>
                <w:vertAlign w:val="baseline"/>
                <w:lang w:val="en-US" w:eastAsia="zh-CN"/>
                <w14:textFill>
                  <w14:solidFill>
                    <w14:schemeClr w14:val="tx1"/>
                  </w14:solidFill>
                </w14:textFill>
              </w:rPr>
              <w:t>表1-2  企业温室气体排放汇总表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9"/>
              <w:gridCol w:w="4147"/>
            </w:tblGrid>
            <w:tr w14:paraId="3485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9" w:type="dxa"/>
                  <w:vAlign w:val="center"/>
                </w:tcPr>
                <w:p w14:paraId="4C4BC6C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企业温室气体CO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排放总量（tCO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4147" w:type="dxa"/>
                  <w:vAlign w:val="center"/>
                </w:tcPr>
                <w:p w14:paraId="2C6CD4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eastAsia" w:cs="Times New Roman"/>
                      <w:color w:val="000000" w:themeColor="text1"/>
                      <w:spacing w:val="0"/>
                      <w:sz w:val="24"/>
                      <w:szCs w:val="24"/>
                      <w:highlight w:val="none"/>
                      <w:vertAlign w:val="baseline"/>
                      <w:lang w:val="en-US" w:eastAsia="zh-CN"/>
                      <w14:textFill>
                        <w14:solidFill>
                          <w14:schemeClr w14:val="tx1"/>
                        </w14:solidFill>
                      </w14:textFill>
                    </w:rPr>
                    <w:t xml:space="preserve">5422.33 </w:t>
                  </w:r>
                </w:p>
              </w:tc>
            </w:tr>
            <w:tr w14:paraId="55C5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9" w:type="dxa"/>
                  <w:vAlign w:val="center"/>
                </w:tcPr>
                <w:p w14:paraId="53468EC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燃料燃烧排放量（tCO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4147" w:type="dxa"/>
                  <w:vAlign w:val="center"/>
                </w:tcPr>
                <w:p w14:paraId="29E12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0</w:t>
                  </w:r>
                </w:p>
              </w:tc>
            </w:tr>
            <w:tr w14:paraId="0AF1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9" w:type="dxa"/>
                  <w:vAlign w:val="center"/>
                </w:tcPr>
                <w:p w14:paraId="525CE91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工业生产过程排放量（tCO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4147" w:type="dxa"/>
                  <w:vAlign w:val="center"/>
                </w:tcPr>
                <w:p w14:paraId="4E9CA6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0</w:t>
                  </w:r>
                </w:p>
              </w:tc>
            </w:tr>
            <w:tr w14:paraId="2F35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9" w:type="dxa"/>
                  <w:vAlign w:val="center"/>
                </w:tcPr>
                <w:p w14:paraId="1EDD59F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废水处理过程排放量（tCO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4147" w:type="dxa"/>
                  <w:vAlign w:val="center"/>
                </w:tcPr>
                <w:p w14:paraId="07813A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0</w:t>
                  </w:r>
                </w:p>
              </w:tc>
            </w:tr>
            <w:tr w14:paraId="7E50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9" w:type="dxa"/>
                  <w:vAlign w:val="center"/>
                </w:tcPr>
                <w:p w14:paraId="0E8A7E1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回收利用量（tCO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4147" w:type="dxa"/>
                  <w:vAlign w:val="center"/>
                </w:tcPr>
                <w:p w14:paraId="35E81A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0</w:t>
                  </w:r>
                </w:p>
              </w:tc>
            </w:tr>
            <w:tr w14:paraId="6CED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9" w:type="dxa"/>
                  <w:vAlign w:val="center"/>
                </w:tcPr>
                <w:p w14:paraId="65F46E1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企业净购入的电力隐含的CO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排放（tCO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4147" w:type="dxa"/>
                  <w:vAlign w:val="center"/>
                </w:tcPr>
                <w:p w14:paraId="3211FE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eastAsia" w:cs="Times New Roman"/>
                      <w:color w:val="000000" w:themeColor="text1"/>
                      <w:spacing w:val="0"/>
                      <w:sz w:val="24"/>
                      <w:szCs w:val="24"/>
                      <w:highlight w:val="none"/>
                      <w:vertAlign w:val="baseline"/>
                      <w:lang w:val="en-US" w:eastAsia="zh-CN"/>
                      <w14:textFill>
                        <w14:solidFill>
                          <w14:schemeClr w14:val="tx1"/>
                        </w14:solidFill>
                      </w14:textFill>
                    </w:rPr>
                    <w:t xml:space="preserve">5422.33 </w:t>
                  </w:r>
                </w:p>
              </w:tc>
            </w:tr>
            <w:tr w14:paraId="44CC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9" w:type="dxa"/>
                  <w:vAlign w:val="center"/>
                </w:tcPr>
                <w:p w14:paraId="5EA0109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企业净购入的热力隐含的CO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排放（tCO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4147" w:type="dxa"/>
                  <w:vAlign w:val="center"/>
                </w:tcPr>
                <w:p w14:paraId="08E168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0</w:t>
                  </w:r>
                </w:p>
              </w:tc>
            </w:tr>
          </w:tbl>
          <w:p w14:paraId="2CFAB059">
            <w:pPr>
              <w:keepNext w:val="0"/>
              <w:keepLines w:val="0"/>
              <w:pageBreakBefore w:val="0"/>
              <w:widowControl w:val="0"/>
              <w:kinsoku/>
              <w:wordWrap/>
              <w:overflowPunct/>
              <w:topLinePunct w:val="0"/>
              <w:autoSpaceDE/>
              <w:autoSpaceDN/>
              <w:bidi w:val="0"/>
              <w:adjustRightInd/>
              <w:snapToGrid/>
              <w:spacing w:line="480" w:lineRule="atLeast"/>
              <w:ind w:left="0" w:leftChars="0" w:firstLine="0" w:firstLineChars="0"/>
              <w:jc w:val="both"/>
              <w:textAlignment w:val="auto"/>
              <w:rPr>
                <w:rFonts w:hint="default" w:ascii="Times New Roman" w:hAnsi="Times New Roman" w:eastAsia="宋体" w:cs="Times New Roman"/>
                <w:color w:val="FF0000"/>
                <w:spacing w:val="0"/>
                <w:sz w:val="24"/>
                <w:szCs w:val="24"/>
                <w:vertAlign w:val="baseline"/>
              </w:rPr>
            </w:pPr>
          </w:p>
        </w:tc>
      </w:tr>
    </w:tbl>
    <w:p w14:paraId="3B07056C">
      <w:pPr>
        <w:bidi w:val="0"/>
        <w:rPr>
          <w:rFonts w:hint="default" w:ascii="Times New Roman" w:hAnsi="Times New Roman" w:eastAsia="宋体" w:cs="Times New Roman"/>
          <w:color w:val="FF0000"/>
          <w:spacing w:val="0"/>
        </w:rPr>
        <w:sectPr>
          <w:pgSz w:w="11906" w:h="16838"/>
          <w:pgMar w:top="1440" w:right="1800" w:bottom="1440" w:left="1800" w:header="851" w:footer="992" w:gutter="0"/>
          <w:pgNumType w:fmt="decimal"/>
          <w:cols w:space="425" w:num="1"/>
          <w:docGrid w:type="lines" w:linePitch="312" w:charSpace="0"/>
        </w:sectPr>
      </w:pPr>
    </w:p>
    <w:p w14:paraId="445C445E">
      <w:pPr>
        <w:pStyle w:val="2"/>
        <w:keepNext/>
        <w:keepLines/>
        <w:pageBreakBefore w:val="0"/>
        <w:widowControl w:val="0"/>
        <w:kinsoku/>
        <w:wordWrap/>
        <w:overflowPunct/>
        <w:topLinePunct w:val="0"/>
        <w:autoSpaceDE/>
        <w:autoSpaceDN/>
        <w:bidi w:val="0"/>
        <w:adjustRightInd/>
        <w:snapToGrid/>
        <w:spacing w:before="120" w:after="120"/>
        <w:textAlignment w:val="auto"/>
        <w:rPr>
          <w:rFonts w:hint="default" w:ascii="Times New Roman" w:hAnsi="Times New Roman" w:eastAsia="宋体" w:cs="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14:textFill>
            <w14:solidFill>
              <w14:schemeClr w14:val="tx1"/>
            </w14:solidFill>
          </w14:textFill>
        </w:rPr>
        <w:t>三、活动水平数据及来源说明</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841"/>
        <w:gridCol w:w="1287"/>
        <w:gridCol w:w="1222"/>
        <w:gridCol w:w="1233"/>
        <w:gridCol w:w="1505"/>
      </w:tblGrid>
      <w:tr w14:paraId="6674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2" w:type="dxa"/>
            <w:gridSpan w:val="7"/>
            <w:vAlign w:val="center"/>
          </w:tcPr>
          <w:p w14:paraId="4B743CF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3.1化石燃料活动水平数据及来源说明</w:t>
            </w:r>
          </w:p>
        </w:tc>
      </w:tr>
      <w:tr w14:paraId="0F27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2" w:type="dxa"/>
            <w:gridSpan w:val="7"/>
            <w:vAlign w:val="center"/>
          </w:tcPr>
          <w:p w14:paraId="50AF384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活动水平1：化石燃料消耗量</w:t>
            </w: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p>
        </w:tc>
      </w:tr>
      <w:tr w14:paraId="2F9F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7" w:type="dxa"/>
            <w:vAlign w:val="center"/>
          </w:tcPr>
          <w:p w14:paraId="2022427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种类</w:t>
            </w:r>
          </w:p>
        </w:tc>
        <w:tc>
          <w:tcPr>
            <w:tcW w:w="1217" w:type="dxa"/>
            <w:vAlign w:val="center"/>
          </w:tcPr>
          <w:p w14:paraId="7FDF9B3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数值</w:t>
            </w:r>
          </w:p>
        </w:tc>
        <w:tc>
          <w:tcPr>
            <w:tcW w:w="841" w:type="dxa"/>
            <w:vAlign w:val="center"/>
          </w:tcPr>
          <w:p w14:paraId="2886359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w:t>
            </w:r>
          </w:p>
        </w:tc>
        <w:tc>
          <w:tcPr>
            <w:tcW w:w="1287" w:type="dxa"/>
            <w:vAlign w:val="center"/>
          </w:tcPr>
          <w:p w14:paraId="35F3573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1222" w:type="dxa"/>
            <w:vAlign w:val="center"/>
          </w:tcPr>
          <w:p w14:paraId="363A7C1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监测设备</w:t>
            </w:r>
          </w:p>
        </w:tc>
        <w:tc>
          <w:tcPr>
            <w:tcW w:w="1233" w:type="dxa"/>
            <w:vAlign w:val="center"/>
          </w:tcPr>
          <w:p w14:paraId="4ACDA81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监测频次</w:t>
            </w:r>
          </w:p>
        </w:tc>
        <w:tc>
          <w:tcPr>
            <w:tcW w:w="1505" w:type="dxa"/>
            <w:vAlign w:val="center"/>
          </w:tcPr>
          <w:p w14:paraId="244EA81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记录频次</w:t>
            </w:r>
          </w:p>
        </w:tc>
      </w:tr>
      <w:tr w14:paraId="48FE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7" w:type="dxa"/>
            <w:vAlign w:val="center"/>
          </w:tcPr>
          <w:p w14:paraId="2FA67D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217" w:type="dxa"/>
            <w:vAlign w:val="center"/>
          </w:tcPr>
          <w:p w14:paraId="75CB10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841" w:type="dxa"/>
            <w:vAlign w:val="center"/>
          </w:tcPr>
          <w:p w14:paraId="5E4D695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287" w:type="dxa"/>
            <w:vAlign w:val="center"/>
          </w:tcPr>
          <w:p w14:paraId="0393A36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222" w:type="dxa"/>
            <w:vAlign w:val="center"/>
          </w:tcPr>
          <w:p w14:paraId="7503ECA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233" w:type="dxa"/>
            <w:vAlign w:val="center"/>
          </w:tcPr>
          <w:p w14:paraId="1262F2E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505" w:type="dxa"/>
            <w:vAlign w:val="center"/>
          </w:tcPr>
          <w:p w14:paraId="2362662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r>
      <w:tr w14:paraId="4C67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2" w:type="dxa"/>
            <w:gridSpan w:val="7"/>
            <w:vAlign w:val="center"/>
          </w:tcPr>
          <w:p w14:paraId="011961A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3.2工业生产过程CO</w:t>
            </w:r>
            <w:r>
              <w:rPr>
                <w:rFonts w:hint="default" w:ascii="Times New Roman" w:hAnsi="Times New Roman" w:eastAsia="宋体" w:cs="Times New Roman"/>
                <w:b/>
                <w:bCs/>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排放的活动水平数据及来源</w:t>
            </w:r>
          </w:p>
        </w:tc>
      </w:tr>
      <w:tr w14:paraId="65C1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2" w:type="dxa"/>
            <w:gridSpan w:val="7"/>
            <w:vAlign w:val="center"/>
          </w:tcPr>
          <w:p w14:paraId="1BCCB34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活动水平2：原材料投入量</w:t>
            </w: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p>
        </w:tc>
      </w:tr>
      <w:tr w14:paraId="3C3E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7" w:type="dxa"/>
            <w:vAlign w:val="center"/>
          </w:tcPr>
          <w:p w14:paraId="5C1CEDF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种类</w:t>
            </w:r>
          </w:p>
        </w:tc>
        <w:tc>
          <w:tcPr>
            <w:tcW w:w="1217" w:type="dxa"/>
            <w:vAlign w:val="center"/>
          </w:tcPr>
          <w:p w14:paraId="1B07EA0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数值</w:t>
            </w:r>
          </w:p>
        </w:tc>
        <w:tc>
          <w:tcPr>
            <w:tcW w:w="841" w:type="dxa"/>
            <w:vAlign w:val="center"/>
          </w:tcPr>
          <w:p w14:paraId="10B12D8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w:t>
            </w:r>
          </w:p>
        </w:tc>
        <w:tc>
          <w:tcPr>
            <w:tcW w:w="1287" w:type="dxa"/>
            <w:vAlign w:val="center"/>
          </w:tcPr>
          <w:p w14:paraId="268C6F7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1222" w:type="dxa"/>
            <w:vAlign w:val="center"/>
          </w:tcPr>
          <w:p w14:paraId="2453FA1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监测设备</w:t>
            </w:r>
          </w:p>
        </w:tc>
        <w:tc>
          <w:tcPr>
            <w:tcW w:w="1233" w:type="dxa"/>
            <w:vAlign w:val="center"/>
          </w:tcPr>
          <w:p w14:paraId="4974610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监测频次</w:t>
            </w:r>
          </w:p>
        </w:tc>
        <w:tc>
          <w:tcPr>
            <w:tcW w:w="1505" w:type="dxa"/>
            <w:vAlign w:val="center"/>
          </w:tcPr>
          <w:p w14:paraId="04C0C45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记录频次</w:t>
            </w:r>
          </w:p>
        </w:tc>
      </w:tr>
      <w:tr w14:paraId="7A17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7" w:type="dxa"/>
            <w:vAlign w:val="center"/>
          </w:tcPr>
          <w:p w14:paraId="6F2C144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217" w:type="dxa"/>
            <w:vAlign w:val="center"/>
          </w:tcPr>
          <w:p w14:paraId="0681203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841" w:type="dxa"/>
            <w:vAlign w:val="center"/>
          </w:tcPr>
          <w:p w14:paraId="760CDD1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287" w:type="dxa"/>
            <w:vAlign w:val="center"/>
          </w:tcPr>
          <w:p w14:paraId="3CF596C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222" w:type="dxa"/>
            <w:vAlign w:val="center"/>
          </w:tcPr>
          <w:p w14:paraId="1D756B1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233" w:type="dxa"/>
            <w:vAlign w:val="center"/>
          </w:tcPr>
          <w:p w14:paraId="44E0FE3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505" w:type="dxa"/>
            <w:vAlign w:val="center"/>
          </w:tcPr>
          <w:p w14:paraId="1217F55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r>
      <w:tr w14:paraId="054C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2" w:type="dxa"/>
            <w:gridSpan w:val="7"/>
            <w:vAlign w:val="center"/>
          </w:tcPr>
          <w:p w14:paraId="381EBAD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highlight w:val="none"/>
                <w:vertAlign w:val="baseline"/>
                <w:lang w:val="en-US" w:eastAsia="zh-CN"/>
                <w14:textFill>
                  <w14:solidFill>
                    <w14:schemeClr w14:val="tx1"/>
                  </w14:solidFill>
                </w14:textFill>
              </w:rPr>
              <w:t>3.3废水处理过程的活动水平数据及来源说明</w:t>
            </w:r>
          </w:p>
        </w:tc>
      </w:tr>
      <w:tr w14:paraId="5E6F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2" w:type="dxa"/>
            <w:gridSpan w:val="7"/>
            <w:vAlign w:val="center"/>
          </w:tcPr>
          <w:p w14:paraId="4C03908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活动水平3：废水处理量</w:t>
            </w:r>
            <w:r>
              <w:rPr>
                <w:rFonts w:hint="default" w:ascii="Times New Roman" w:hAnsi="Times New Roman" w:eastAsia="宋体" w:cs="Times New Roman"/>
                <w:color w:val="000000" w:themeColor="text1"/>
                <w:spacing w:val="0"/>
                <w:sz w:val="24"/>
                <w:szCs w:val="24"/>
                <w:highlight w:val="none"/>
                <w:vertAlign w:val="baseline"/>
                <w:lang w:eastAsia="zh-CN"/>
                <w14:textFill>
                  <w14:solidFill>
                    <w14:schemeClr w14:val="tx1"/>
                  </w14:solidFill>
                </w14:textFill>
              </w:rPr>
              <w:t>）</w:t>
            </w:r>
          </w:p>
        </w:tc>
      </w:tr>
      <w:tr w14:paraId="21D5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7" w:type="dxa"/>
            <w:vAlign w:val="center"/>
          </w:tcPr>
          <w:p w14:paraId="26CC5B9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种类</w:t>
            </w:r>
          </w:p>
        </w:tc>
        <w:tc>
          <w:tcPr>
            <w:tcW w:w="1217" w:type="dxa"/>
            <w:vAlign w:val="center"/>
          </w:tcPr>
          <w:p w14:paraId="3859C08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数值</w:t>
            </w:r>
          </w:p>
        </w:tc>
        <w:tc>
          <w:tcPr>
            <w:tcW w:w="841" w:type="dxa"/>
            <w:vAlign w:val="center"/>
          </w:tcPr>
          <w:p w14:paraId="06C693B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单位</w:t>
            </w:r>
          </w:p>
        </w:tc>
        <w:tc>
          <w:tcPr>
            <w:tcW w:w="1287" w:type="dxa"/>
            <w:vAlign w:val="center"/>
          </w:tcPr>
          <w:p w14:paraId="64AC35A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数据来源</w:t>
            </w:r>
          </w:p>
        </w:tc>
        <w:tc>
          <w:tcPr>
            <w:tcW w:w="1222" w:type="dxa"/>
            <w:vAlign w:val="center"/>
          </w:tcPr>
          <w:p w14:paraId="36561A0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监测设备</w:t>
            </w:r>
          </w:p>
        </w:tc>
        <w:tc>
          <w:tcPr>
            <w:tcW w:w="1233" w:type="dxa"/>
            <w:vAlign w:val="center"/>
          </w:tcPr>
          <w:p w14:paraId="7A63957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监测频次</w:t>
            </w:r>
          </w:p>
        </w:tc>
        <w:tc>
          <w:tcPr>
            <w:tcW w:w="1505" w:type="dxa"/>
            <w:vAlign w:val="center"/>
          </w:tcPr>
          <w:p w14:paraId="5E18CC7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记录频次</w:t>
            </w:r>
          </w:p>
        </w:tc>
      </w:tr>
      <w:tr w14:paraId="1F4D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7" w:type="dxa"/>
            <w:vAlign w:val="center"/>
          </w:tcPr>
          <w:p w14:paraId="248AEFE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217" w:type="dxa"/>
            <w:vAlign w:val="center"/>
          </w:tcPr>
          <w:p w14:paraId="6414413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841" w:type="dxa"/>
            <w:vAlign w:val="center"/>
          </w:tcPr>
          <w:p w14:paraId="6997E9B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287" w:type="dxa"/>
            <w:vAlign w:val="center"/>
          </w:tcPr>
          <w:p w14:paraId="7F35F22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222" w:type="dxa"/>
            <w:vAlign w:val="center"/>
          </w:tcPr>
          <w:p w14:paraId="21AEB39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233" w:type="dxa"/>
            <w:vAlign w:val="center"/>
          </w:tcPr>
          <w:p w14:paraId="3EEAAFA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505" w:type="dxa"/>
            <w:vAlign w:val="center"/>
          </w:tcPr>
          <w:p w14:paraId="16C688E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r>
      <w:tr w14:paraId="0E82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2" w:type="dxa"/>
            <w:gridSpan w:val="7"/>
            <w:vAlign w:val="center"/>
          </w:tcPr>
          <w:p w14:paraId="72332BF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3.4净购入电力和热力的活动水平数据及来源说明</w:t>
            </w:r>
          </w:p>
        </w:tc>
      </w:tr>
      <w:tr w14:paraId="4FA1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2" w:type="dxa"/>
            <w:gridSpan w:val="7"/>
            <w:vAlign w:val="center"/>
          </w:tcPr>
          <w:p w14:paraId="7FE12A9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活动水平4：电力净购入量</w:t>
            </w: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p>
        </w:tc>
      </w:tr>
      <w:tr w14:paraId="2929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7" w:type="dxa"/>
            <w:vAlign w:val="center"/>
          </w:tcPr>
          <w:p w14:paraId="1FC35D1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种类</w:t>
            </w:r>
          </w:p>
        </w:tc>
        <w:tc>
          <w:tcPr>
            <w:tcW w:w="1217" w:type="dxa"/>
            <w:vAlign w:val="center"/>
          </w:tcPr>
          <w:p w14:paraId="05E8942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数值</w:t>
            </w:r>
          </w:p>
        </w:tc>
        <w:tc>
          <w:tcPr>
            <w:tcW w:w="841" w:type="dxa"/>
            <w:vAlign w:val="center"/>
          </w:tcPr>
          <w:p w14:paraId="491F3C2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w:t>
            </w:r>
          </w:p>
        </w:tc>
        <w:tc>
          <w:tcPr>
            <w:tcW w:w="1287" w:type="dxa"/>
            <w:vAlign w:val="center"/>
          </w:tcPr>
          <w:p w14:paraId="41E6F36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1222" w:type="dxa"/>
            <w:vAlign w:val="center"/>
          </w:tcPr>
          <w:p w14:paraId="23BB908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监测设备</w:t>
            </w:r>
          </w:p>
        </w:tc>
        <w:tc>
          <w:tcPr>
            <w:tcW w:w="1233" w:type="dxa"/>
            <w:vAlign w:val="center"/>
          </w:tcPr>
          <w:p w14:paraId="3C3C800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监测频次</w:t>
            </w:r>
          </w:p>
        </w:tc>
        <w:tc>
          <w:tcPr>
            <w:tcW w:w="1505" w:type="dxa"/>
            <w:vAlign w:val="center"/>
          </w:tcPr>
          <w:p w14:paraId="0E28E46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记录频次</w:t>
            </w:r>
          </w:p>
        </w:tc>
      </w:tr>
      <w:tr w14:paraId="47F0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7" w:type="dxa"/>
            <w:vAlign w:val="center"/>
          </w:tcPr>
          <w:p w14:paraId="32FB9B9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电力</w:t>
            </w:r>
          </w:p>
        </w:tc>
        <w:tc>
          <w:tcPr>
            <w:tcW w:w="1217" w:type="dxa"/>
            <w:shd w:val="clear" w:color="auto" w:fill="auto"/>
            <w:vAlign w:val="center"/>
          </w:tcPr>
          <w:p w14:paraId="0B65E02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eastAsia" w:cs="Times New Roman"/>
                <w:color w:val="000000" w:themeColor="text1"/>
                <w:spacing w:val="0"/>
                <w:sz w:val="24"/>
                <w:szCs w:val="24"/>
                <w:vertAlign w:val="baseline"/>
                <w:lang w:val="en-US" w:eastAsia="zh-CN"/>
                <w14:textFill>
                  <w14:solidFill>
                    <w14:schemeClr w14:val="tx1"/>
                  </w14:solidFill>
                </w14:textFill>
              </w:rPr>
              <w:t>8002.257</w:t>
            </w:r>
          </w:p>
        </w:tc>
        <w:tc>
          <w:tcPr>
            <w:tcW w:w="841" w:type="dxa"/>
            <w:vAlign w:val="center"/>
          </w:tcPr>
          <w:p w14:paraId="7E07FD3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MWh</w:t>
            </w:r>
          </w:p>
        </w:tc>
        <w:tc>
          <w:tcPr>
            <w:tcW w:w="1287" w:type="dxa"/>
            <w:vAlign w:val="center"/>
          </w:tcPr>
          <w:p w14:paraId="37DA9E7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能源统计报表</w:t>
            </w:r>
          </w:p>
        </w:tc>
        <w:tc>
          <w:tcPr>
            <w:tcW w:w="1222" w:type="dxa"/>
            <w:vAlign w:val="center"/>
          </w:tcPr>
          <w:p w14:paraId="51662D1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电力计量表</w:t>
            </w:r>
          </w:p>
        </w:tc>
        <w:tc>
          <w:tcPr>
            <w:tcW w:w="1233" w:type="dxa"/>
            <w:vAlign w:val="center"/>
          </w:tcPr>
          <w:p w14:paraId="03F5E3B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实时监测</w:t>
            </w:r>
          </w:p>
        </w:tc>
        <w:tc>
          <w:tcPr>
            <w:tcW w:w="1505" w:type="dxa"/>
            <w:vAlign w:val="center"/>
          </w:tcPr>
          <w:p w14:paraId="316E103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每天记录，每月抄表，每年汇总</w:t>
            </w:r>
          </w:p>
        </w:tc>
      </w:tr>
    </w:tbl>
    <w:p w14:paraId="4B2C2743">
      <w:pPr>
        <w:bidi w:val="0"/>
        <w:ind w:left="0" w:leftChars="0" w:firstLine="0" w:firstLineChars="0"/>
        <w:rPr>
          <w:rFonts w:hint="default" w:ascii="Times New Roman" w:hAnsi="Times New Roman" w:eastAsia="宋体" w:cs="Times New Roman"/>
          <w:color w:val="FF0000"/>
          <w:spacing w:val="0"/>
        </w:rPr>
      </w:pPr>
    </w:p>
    <w:p w14:paraId="69736594">
      <w:pPr>
        <w:bidi w:val="0"/>
        <w:rPr>
          <w:rFonts w:hint="default" w:ascii="Times New Roman" w:hAnsi="Times New Roman" w:eastAsia="宋体" w:cs="Times New Roman"/>
          <w:color w:val="FF0000"/>
          <w:spacing w:val="0"/>
        </w:rPr>
        <w:sectPr>
          <w:pgSz w:w="11906" w:h="16838"/>
          <w:pgMar w:top="1440" w:right="1800" w:bottom="1440" w:left="1800" w:header="851" w:footer="992" w:gutter="0"/>
          <w:pgNumType w:fmt="decimal"/>
          <w:cols w:space="425" w:num="1"/>
          <w:docGrid w:type="lines" w:linePitch="312" w:charSpace="0"/>
        </w:sectPr>
      </w:pPr>
    </w:p>
    <w:p w14:paraId="63D24CF5">
      <w:pPr>
        <w:pStyle w:val="2"/>
        <w:keepNext/>
        <w:keepLines/>
        <w:pageBreakBefore w:val="0"/>
        <w:widowControl w:val="0"/>
        <w:kinsoku/>
        <w:wordWrap/>
        <w:overflowPunct/>
        <w:topLinePunct w:val="0"/>
        <w:autoSpaceDE/>
        <w:autoSpaceDN/>
        <w:bidi w:val="0"/>
        <w:adjustRightInd/>
        <w:snapToGrid/>
        <w:spacing w:before="120" w:after="120"/>
        <w:textAlignment w:val="auto"/>
        <w:rPr>
          <w:rFonts w:hint="default" w:ascii="Times New Roman" w:hAnsi="Times New Roman" w:eastAsia="宋体" w:cs="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14:textFill>
            <w14:solidFill>
              <w14:schemeClr w14:val="tx1"/>
            </w14:solidFill>
          </w14:textFill>
        </w:rPr>
        <w:t>四、排放因子数据及来源说明</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383"/>
        <w:gridCol w:w="1303"/>
        <w:gridCol w:w="1733"/>
        <w:gridCol w:w="1744"/>
        <w:gridCol w:w="1006"/>
      </w:tblGrid>
      <w:tr w14:paraId="3429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303BFC7E">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4.1化石燃料排放因子数据及来源说明</w:t>
            </w:r>
          </w:p>
        </w:tc>
      </w:tr>
      <w:tr w14:paraId="3C87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6F9C26DC">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排放因子1：化石燃料含碳量</w:t>
            </w: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p>
        </w:tc>
      </w:tr>
      <w:tr w14:paraId="1FC7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14792B79">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种类</w:t>
            </w:r>
          </w:p>
        </w:tc>
        <w:tc>
          <w:tcPr>
            <w:tcW w:w="1383" w:type="dxa"/>
            <w:vAlign w:val="center"/>
          </w:tcPr>
          <w:p w14:paraId="4411BEAE">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数值</w:t>
            </w:r>
          </w:p>
        </w:tc>
        <w:tc>
          <w:tcPr>
            <w:tcW w:w="1303" w:type="dxa"/>
            <w:vAlign w:val="center"/>
          </w:tcPr>
          <w:p w14:paraId="49EE1A64">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w:t>
            </w:r>
          </w:p>
        </w:tc>
        <w:tc>
          <w:tcPr>
            <w:tcW w:w="1733" w:type="dxa"/>
            <w:vAlign w:val="center"/>
          </w:tcPr>
          <w:p w14:paraId="3A16270F">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1744" w:type="dxa"/>
            <w:vAlign w:val="center"/>
          </w:tcPr>
          <w:p w14:paraId="0255F342">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实测/实测计算</w:t>
            </w:r>
          </w:p>
        </w:tc>
        <w:tc>
          <w:tcPr>
            <w:tcW w:w="1006" w:type="dxa"/>
            <w:vAlign w:val="center"/>
          </w:tcPr>
          <w:p w14:paraId="628CA792">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频次</w:t>
            </w:r>
          </w:p>
        </w:tc>
      </w:tr>
      <w:tr w14:paraId="3A2F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1EB4F05A">
            <w:pPr>
              <w:keepNext w:val="0"/>
              <w:keepLines w:val="0"/>
              <w:pageBreakBefore w:val="0"/>
              <w:widowControl/>
              <w:suppressLineNumbers w:val="0"/>
              <w:kinsoku/>
              <w:wordWrap/>
              <w:overflowPunct/>
              <w:topLinePunct w:val="0"/>
              <w:autoSpaceDE/>
              <w:autoSpaceDN/>
              <w:bidi w:val="0"/>
              <w:adjustRightInd/>
              <w:snapToGrid/>
              <w:spacing w:before="32" w:beforeLines="10" w:after="32" w:afterLines="10" w:line="240" w:lineRule="auto"/>
              <w:ind w:firstLine="0" w:firstLineChars="0"/>
              <w:jc w:val="center"/>
              <w:textAlignment w:val="cente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383" w:type="dxa"/>
            <w:vAlign w:val="center"/>
          </w:tcPr>
          <w:p w14:paraId="1182862D">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yellow"/>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303" w:type="dxa"/>
            <w:vAlign w:val="center"/>
          </w:tcPr>
          <w:p w14:paraId="386C6C40">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yellow"/>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733" w:type="dxa"/>
            <w:vAlign w:val="center"/>
          </w:tcPr>
          <w:p w14:paraId="44E30254">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744" w:type="dxa"/>
            <w:vAlign w:val="center"/>
          </w:tcPr>
          <w:p w14:paraId="6920E31C">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006" w:type="dxa"/>
            <w:vAlign w:val="center"/>
          </w:tcPr>
          <w:p w14:paraId="0F4861B7">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r>
      <w:tr w14:paraId="2905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03CA1C00">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排放因子2：化石燃料的碳氧化率</w:t>
            </w: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p>
        </w:tc>
      </w:tr>
      <w:tr w14:paraId="3EFC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68C2253B">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种类</w:t>
            </w:r>
          </w:p>
        </w:tc>
        <w:tc>
          <w:tcPr>
            <w:tcW w:w="1383" w:type="dxa"/>
            <w:vAlign w:val="center"/>
          </w:tcPr>
          <w:p w14:paraId="7811BC30">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数值（%）</w:t>
            </w:r>
          </w:p>
        </w:tc>
        <w:tc>
          <w:tcPr>
            <w:tcW w:w="1303" w:type="dxa"/>
            <w:vAlign w:val="center"/>
          </w:tcPr>
          <w:p w14:paraId="3E1854DF">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w:t>
            </w:r>
          </w:p>
        </w:tc>
        <w:tc>
          <w:tcPr>
            <w:tcW w:w="1733" w:type="dxa"/>
            <w:vAlign w:val="center"/>
          </w:tcPr>
          <w:p w14:paraId="262D1A87">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1744" w:type="dxa"/>
            <w:vAlign w:val="center"/>
          </w:tcPr>
          <w:p w14:paraId="6B9181EA">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实测/实测计算</w:t>
            </w:r>
          </w:p>
        </w:tc>
        <w:tc>
          <w:tcPr>
            <w:tcW w:w="1006" w:type="dxa"/>
            <w:vAlign w:val="center"/>
          </w:tcPr>
          <w:p w14:paraId="00C258AC">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频次</w:t>
            </w:r>
          </w:p>
        </w:tc>
      </w:tr>
      <w:tr w14:paraId="6B43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4EFDC044">
            <w:pPr>
              <w:keepNext w:val="0"/>
              <w:keepLines w:val="0"/>
              <w:pageBreakBefore w:val="0"/>
              <w:widowControl/>
              <w:suppressLineNumbers w:val="0"/>
              <w:kinsoku/>
              <w:wordWrap/>
              <w:overflowPunct/>
              <w:topLinePunct w:val="0"/>
              <w:autoSpaceDE/>
              <w:autoSpaceDN/>
              <w:bidi w:val="0"/>
              <w:adjustRightInd/>
              <w:snapToGrid/>
              <w:spacing w:before="32" w:beforeLines="10" w:after="32" w:afterLines="10" w:line="240" w:lineRule="auto"/>
              <w:ind w:firstLine="0" w:firstLineChars="0"/>
              <w:jc w:val="center"/>
              <w:textAlignment w:val="center"/>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4"/>
                <w:szCs w:val="24"/>
                <w:u w:val="none"/>
                <w:lang w:val="en-US" w:eastAsia="zh-CN" w:bidi="ar"/>
                <w14:textFill>
                  <w14:solidFill>
                    <w14:schemeClr w14:val="tx1"/>
                  </w14:solidFill>
                </w14:textFill>
              </w:rPr>
              <w:t>柴油</w:t>
            </w:r>
          </w:p>
        </w:tc>
        <w:tc>
          <w:tcPr>
            <w:tcW w:w="1383" w:type="dxa"/>
            <w:vAlign w:val="center"/>
          </w:tcPr>
          <w:p w14:paraId="35811C4F">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303" w:type="dxa"/>
            <w:vAlign w:val="center"/>
          </w:tcPr>
          <w:p w14:paraId="1C5F2D81">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733" w:type="dxa"/>
            <w:vAlign w:val="center"/>
          </w:tcPr>
          <w:p w14:paraId="38A444AE">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缺省值</w:t>
            </w:r>
          </w:p>
        </w:tc>
        <w:tc>
          <w:tcPr>
            <w:tcW w:w="1744" w:type="dxa"/>
            <w:vAlign w:val="center"/>
          </w:tcPr>
          <w:p w14:paraId="4A302C2B">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006" w:type="dxa"/>
            <w:vAlign w:val="center"/>
          </w:tcPr>
          <w:p w14:paraId="72B0BE08">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r>
      <w:tr w14:paraId="6107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20C66131">
            <w:pPr>
              <w:keepNext w:val="0"/>
              <w:keepLines w:val="0"/>
              <w:pageBreakBefore w:val="0"/>
              <w:widowControl/>
              <w:suppressLineNumbers w:val="0"/>
              <w:kinsoku/>
              <w:wordWrap/>
              <w:overflowPunct/>
              <w:topLinePunct w:val="0"/>
              <w:autoSpaceDE/>
              <w:autoSpaceDN/>
              <w:bidi w:val="0"/>
              <w:adjustRightInd/>
              <w:snapToGrid/>
              <w:spacing w:before="32" w:beforeLines="10" w:after="32" w:afterLines="10" w:line="240" w:lineRule="auto"/>
              <w:ind w:firstLine="0" w:firstLineChars="0"/>
              <w:jc w:val="center"/>
              <w:textAlignment w:val="cente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4"/>
                <w:szCs w:val="24"/>
                <w:u w:val="none"/>
                <w:lang w:val="en-US" w:eastAsia="zh-CN" w:bidi="ar"/>
                <w14:textFill>
                  <w14:solidFill>
                    <w14:schemeClr w14:val="tx1"/>
                  </w14:solidFill>
                </w14:textFill>
              </w:rPr>
              <w:t>汽油</w:t>
            </w:r>
          </w:p>
        </w:tc>
        <w:tc>
          <w:tcPr>
            <w:tcW w:w="1383" w:type="dxa"/>
            <w:vAlign w:val="center"/>
          </w:tcPr>
          <w:p w14:paraId="182277EA">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303" w:type="dxa"/>
            <w:vAlign w:val="center"/>
          </w:tcPr>
          <w:p w14:paraId="3F56AB01">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733" w:type="dxa"/>
            <w:vAlign w:val="center"/>
          </w:tcPr>
          <w:p w14:paraId="51F45DC3">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缺省值</w:t>
            </w:r>
          </w:p>
        </w:tc>
        <w:tc>
          <w:tcPr>
            <w:tcW w:w="1744" w:type="dxa"/>
            <w:vAlign w:val="center"/>
          </w:tcPr>
          <w:p w14:paraId="56468D45">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006" w:type="dxa"/>
            <w:vAlign w:val="center"/>
          </w:tcPr>
          <w:p w14:paraId="408181FA">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r>
      <w:tr w14:paraId="7F2D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5A1FB88D">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4.2工业生产过程CO</w:t>
            </w:r>
            <w:r>
              <w:rPr>
                <w:rFonts w:hint="default" w:ascii="Times New Roman" w:hAnsi="Times New Roman" w:eastAsia="宋体" w:cs="Times New Roman"/>
                <w:b/>
                <w:bCs/>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排放的排放因子数据及来源说明</w:t>
            </w:r>
          </w:p>
        </w:tc>
      </w:tr>
      <w:tr w14:paraId="5D55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29EA5184">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排放因子3：原材料含碳量</w:t>
            </w: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p>
        </w:tc>
      </w:tr>
      <w:tr w14:paraId="2CB5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5BBA36BE">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种类</w:t>
            </w:r>
          </w:p>
        </w:tc>
        <w:tc>
          <w:tcPr>
            <w:tcW w:w="1383" w:type="dxa"/>
            <w:vAlign w:val="center"/>
          </w:tcPr>
          <w:p w14:paraId="59676E3B">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数值</w:t>
            </w:r>
          </w:p>
        </w:tc>
        <w:tc>
          <w:tcPr>
            <w:tcW w:w="1303" w:type="dxa"/>
            <w:vAlign w:val="center"/>
          </w:tcPr>
          <w:p w14:paraId="126D2F71">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w:t>
            </w:r>
          </w:p>
        </w:tc>
        <w:tc>
          <w:tcPr>
            <w:tcW w:w="1733" w:type="dxa"/>
            <w:vAlign w:val="center"/>
          </w:tcPr>
          <w:p w14:paraId="33A0CFA7">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1744" w:type="dxa"/>
            <w:vAlign w:val="center"/>
          </w:tcPr>
          <w:p w14:paraId="7B12A61B">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实测/实测计算</w:t>
            </w:r>
          </w:p>
        </w:tc>
        <w:tc>
          <w:tcPr>
            <w:tcW w:w="1006" w:type="dxa"/>
            <w:vAlign w:val="center"/>
          </w:tcPr>
          <w:p w14:paraId="0F310FF5">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频次</w:t>
            </w:r>
          </w:p>
        </w:tc>
      </w:tr>
      <w:tr w14:paraId="3596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2CD5A10F">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383" w:type="dxa"/>
            <w:vAlign w:val="center"/>
          </w:tcPr>
          <w:p w14:paraId="7303C342">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303" w:type="dxa"/>
            <w:vAlign w:val="center"/>
          </w:tcPr>
          <w:p w14:paraId="70B3C1B2">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733" w:type="dxa"/>
            <w:vAlign w:val="center"/>
          </w:tcPr>
          <w:p w14:paraId="24097C71">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744" w:type="dxa"/>
            <w:vAlign w:val="center"/>
          </w:tcPr>
          <w:p w14:paraId="764A2F6B">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006" w:type="dxa"/>
            <w:vAlign w:val="center"/>
          </w:tcPr>
          <w:p w14:paraId="12DD7E97">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r>
      <w:tr w14:paraId="613E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09A91073">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4.3废水处理过程CO</w:t>
            </w:r>
            <w:r>
              <w:rPr>
                <w:rFonts w:hint="default" w:ascii="Times New Roman" w:hAnsi="Times New Roman" w:eastAsia="宋体" w:cs="Times New Roman"/>
                <w:b/>
                <w:bCs/>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排放的排放因子数据及来源说明</w:t>
            </w:r>
          </w:p>
        </w:tc>
      </w:tr>
      <w:tr w14:paraId="5F5A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6F586439">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排放因子4：厌氧处理系统进口废水的每立方米千克化学需氧量</w:t>
            </w:r>
            <w:r>
              <w:rPr>
                <w:rFonts w:hint="default" w:ascii="Times New Roman" w:hAnsi="Times New Roman" w:eastAsia="宋体" w:cs="Times New Roman"/>
                <w:color w:val="000000" w:themeColor="text1"/>
                <w:spacing w:val="0"/>
                <w:sz w:val="24"/>
                <w:szCs w:val="24"/>
                <w:highlight w:val="none"/>
                <w:vertAlign w:val="baseline"/>
                <w:lang w:eastAsia="zh-CN"/>
                <w14:textFill>
                  <w14:solidFill>
                    <w14:schemeClr w14:val="tx1"/>
                  </w14:solidFill>
                </w14:textFill>
              </w:rPr>
              <w:t>）</w:t>
            </w:r>
          </w:p>
        </w:tc>
      </w:tr>
      <w:tr w14:paraId="4DF8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1307CB7A">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种类</w:t>
            </w:r>
          </w:p>
        </w:tc>
        <w:tc>
          <w:tcPr>
            <w:tcW w:w="1383" w:type="dxa"/>
            <w:vAlign w:val="center"/>
          </w:tcPr>
          <w:p w14:paraId="62F330F6">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数值</w:t>
            </w:r>
          </w:p>
        </w:tc>
        <w:tc>
          <w:tcPr>
            <w:tcW w:w="1303" w:type="dxa"/>
            <w:vAlign w:val="center"/>
          </w:tcPr>
          <w:p w14:paraId="62FFC3CF">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w:t>
            </w:r>
          </w:p>
        </w:tc>
        <w:tc>
          <w:tcPr>
            <w:tcW w:w="1733" w:type="dxa"/>
            <w:vAlign w:val="center"/>
          </w:tcPr>
          <w:p w14:paraId="12C08C10">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1744" w:type="dxa"/>
            <w:vAlign w:val="center"/>
          </w:tcPr>
          <w:p w14:paraId="730D612B">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实测/实测计算</w:t>
            </w:r>
          </w:p>
        </w:tc>
        <w:tc>
          <w:tcPr>
            <w:tcW w:w="1006" w:type="dxa"/>
            <w:vAlign w:val="center"/>
          </w:tcPr>
          <w:p w14:paraId="4B99E09D">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频次</w:t>
            </w:r>
          </w:p>
        </w:tc>
      </w:tr>
      <w:tr w14:paraId="4D9C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49F9FB3B">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383" w:type="dxa"/>
            <w:vAlign w:val="center"/>
          </w:tcPr>
          <w:p w14:paraId="723FD5A6">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303" w:type="dxa"/>
            <w:vAlign w:val="center"/>
          </w:tcPr>
          <w:p w14:paraId="35329082">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733" w:type="dxa"/>
            <w:vAlign w:val="center"/>
          </w:tcPr>
          <w:p w14:paraId="280CA8CA">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744" w:type="dxa"/>
            <w:vAlign w:val="center"/>
          </w:tcPr>
          <w:p w14:paraId="28E4B4E6">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006" w:type="dxa"/>
            <w:vAlign w:val="center"/>
          </w:tcPr>
          <w:p w14:paraId="09E05B0F">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r>
      <w:tr w14:paraId="047A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4EA651F9">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排放因子5：厌氧处理系统出口废水的每立方米千克化学需氧量</w:t>
            </w:r>
            <w:r>
              <w:rPr>
                <w:rFonts w:hint="default" w:ascii="Times New Roman" w:hAnsi="Times New Roman" w:eastAsia="宋体" w:cs="Times New Roman"/>
                <w:color w:val="000000" w:themeColor="text1"/>
                <w:spacing w:val="0"/>
                <w:sz w:val="24"/>
                <w:szCs w:val="24"/>
                <w:highlight w:val="none"/>
                <w:vertAlign w:val="baseline"/>
                <w:lang w:eastAsia="zh-CN"/>
                <w14:textFill>
                  <w14:solidFill>
                    <w14:schemeClr w14:val="tx1"/>
                  </w14:solidFill>
                </w14:textFill>
              </w:rPr>
              <w:t>）</w:t>
            </w:r>
          </w:p>
        </w:tc>
      </w:tr>
      <w:tr w14:paraId="7760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6BB3635E">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种类</w:t>
            </w:r>
          </w:p>
        </w:tc>
        <w:tc>
          <w:tcPr>
            <w:tcW w:w="1383" w:type="dxa"/>
            <w:vAlign w:val="center"/>
          </w:tcPr>
          <w:p w14:paraId="5ECC95EE">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数值</w:t>
            </w:r>
          </w:p>
        </w:tc>
        <w:tc>
          <w:tcPr>
            <w:tcW w:w="1303" w:type="dxa"/>
            <w:vAlign w:val="center"/>
          </w:tcPr>
          <w:p w14:paraId="7647CC33">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w:t>
            </w:r>
          </w:p>
        </w:tc>
        <w:tc>
          <w:tcPr>
            <w:tcW w:w="1733" w:type="dxa"/>
            <w:vAlign w:val="center"/>
          </w:tcPr>
          <w:p w14:paraId="46922841">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1744" w:type="dxa"/>
            <w:vAlign w:val="center"/>
          </w:tcPr>
          <w:p w14:paraId="154A3BC5">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实测/实测计算</w:t>
            </w:r>
          </w:p>
        </w:tc>
        <w:tc>
          <w:tcPr>
            <w:tcW w:w="1006" w:type="dxa"/>
            <w:vAlign w:val="center"/>
          </w:tcPr>
          <w:p w14:paraId="1C080E10">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频次</w:t>
            </w:r>
          </w:p>
        </w:tc>
      </w:tr>
      <w:tr w14:paraId="5763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1F591668">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383" w:type="dxa"/>
            <w:vAlign w:val="center"/>
          </w:tcPr>
          <w:p w14:paraId="4DDFE888">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303" w:type="dxa"/>
            <w:vAlign w:val="center"/>
          </w:tcPr>
          <w:p w14:paraId="2E784864">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733" w:type="dxa"/>
            <w:vAlign w:val="center"/>
          </w:tcPr>
          <w:p w14:paraId="3FFDDBEF">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744" w:type="dxa"/>
            <w:vAlign w:val="center"/>
          </w:tcPr>
          <w:p w14:paraId="49887F8B">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006" w:type="dxa"/>
            <w:vAlign w:val="center"/>
          </w:tcPr>
          <w:p w14:paraId="06E569E2">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r>
      <w:tr w14:paraId="168B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27B8984E">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排放因子6：甲烷回收量）</w:t>
            </w:r>
          </w:p>
        </w:tc>
      </w:tr>
      <w:tr w14:paraId="7338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044324A3">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种类</w:t>
            </w:r>
          </w:p>
        </w:tc>
        <w:tc>
          <w:tcPr>
            <w:tcW w:w="1383" w:type="dxa"/>
            <w:vAlign w:val="center"/>
          </w:tcPr>
          <w:p w14:paraId="25D0DFD4">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数值</w:t>
            </w:r>
          </w:p>
        </w:tc>
        <w:tc>
          <w:tcPr>
            <w:tcW w:w="1303" w:type="dxa"/>
            <w:vAlign w:val="center"/>
          </w:tcPr>
          <w:p w14:paraId="5F45CADF">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w:t>
            </w:r>
          </w:p>
        </w:tc>
        <w:tc>
          <w:tcPr>
            <w:tcW w:w="1733" w:type="dxa"/>
            <w:vAlign w:val="center"/>
          </w:tcPr>
          <w:p w14:paraId="2006ABEE">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1744" w:type="dxa"/>
            <w:vAlign w:val="center"/>
          </w:tcPr>
          <w:p w14:paraId="41FD38BF">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实测/实测计算</w:t>
            </w:r>
          </w:p>
        </w:tc>
        <w:tc>
          <w:tcPr>
            <w:tcW w:w="1006" w:type="dxa"/>
            <w:vAlign w:val="center"/>
          </w:tcPr>
          <w:p w14:paraId="390B3CC0">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频次</w:t>
            </w:r>
          </w:p>
        </w:tc>
      </w:tr>
      <w:tr w14:paraId="553F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7A5C3884">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383" w:type="dxa"/>
            <w:vAlign w:val="center"/>
          </w:tcPr>
          <w:p w14:paraId="5F97CAD7">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303" w:type="dxa"/>
            <w:vAlign w:val="center"/>
          </w:tcPr>
          <w:p w14:paraId="59043D28">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733" w:type="dxa"/>
            <w:vAlign w:val="center"/>
          </w:tcPr>
          <w:p w14:paraId="6D3B57AA">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744" w:type="dxa"/>
            <w:vAlign w:val="center"/>
          </w:tcPr>
          <w:p w14:paraId="1CA6E0B5">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006" w:type="dxa"/>
            <w:vAlign w:val="center"/>
          </w:tcPr>
          <w:p w14:paraId="49DB87AD">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r>
      <w:tr w14:paraId="69E9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735875F7">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排放因子7：厌氧处理系统的甲烷产生潜力）</w:t>
            </w:r>
          </w:p>
        </w:tc>
      </w:tr>
      <w:tr w14:paraId="3D8F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62067A66">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种类</w:t>
            </w:r>
          </w:p>
        </w:tc>
        <w:tc>
          <w:tcPr>
            <w:tcW w:w="1383" w:type="dxa"/>
            <w:vAlign w:val="center"/>
          </w:tcPr>
          <w:p w14:paraId="5A91055D">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数值</w:t>
            </w:r>
          </w:p>
        </w:tc>
        <w:tc>
          <w:tcPr>
            <w:tcW w:w="1303" w:type="dxa"/>
            <w:vAlign w:val="center"/>
          </w:tcPr>
          <w:p w14:paraId="186C2D1C">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w:t>
            </w:r>
          </w:p>
        </w:tc>
        <w:tc>
          <w:tcPr>
            <w:tcW w:w="1733" w:type="dxa"/>
            <w:vAlign w:val="center"/>
          </w:tcPr>
          <w:p w14:paraId="6F396BBE">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1744" w:type="dxa"/>
            <w:vAlign w:val="center"/>
          </w:tcPr>
          <w:p w14:paraId="39862B39">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实测/实测计算</w:t>
            </w:r>
          </w:p>
        </w:tc>
        <w:tc>
          <w:tcPr>
            <w:tcW w:w="1006" w:type="dxa"/>
            <w:vAlign w:val="center"/>
          </w:tcPr>
          <w:p w14:paraId="71B89A54">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频次</w:t>
            </w:r>
          </w:p>
        </w:tc>
      </w:tr>
      <w:tr w14:paraId="6E1D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55D42EE5">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383" w:type="dxa"/>
            <w:vAlign w:val="center"/>
          </w:tcPr>
          <w:p w14:paraId="6D4221C4">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303" w:type="dxa"/>
            <w:vAlign w:val="center"/>
          </w:tcPr>
          <w:p w14:paraId="792965F6">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733" w:type="dxa"/>
            <w:vAlign w:val="center"/>
          </w:tcPr>
          <w:p w14:paraId="14938E2E">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744" w:type="dxa"/>
            <w:vAlign w:val="center"/>
          </w:tcPr>
          <w:p w14:paraId="0A7BDC7A">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006" w:type="dxa"/>
            <w:vAlign w:val="center"/>
          </w:tcPr>
          <w:p w14:paraId="6AAB6D1E">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r>
      <w:tr w14:paraId="6E51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199CD47A">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排放因子8：甲烷修正因子）</w:t>
            </w:r>
          </w:p>
        </w:tc>
      </w:tr>
      <w:tr w14:paraId="3B9B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29706CEA">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种类</w:t>
            </w:r>
          </w:p>
        </w:tc>
        <w:tc>
          <w:tcPr>
            <w:tcW w:w="1383" w:type="dxa"/>
            <w:vAlign w:val="center"/>
          </w:tcPr>
          <w:p w14:paraId="1AF97B62">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数值</w:t>
            </w:r>
          </w:p>
        </w:tc>
        <w:tc>
          <w:tcPr>
            <w:tcW w:w="1303" w:type="dxa"/>
            <w:vAlign w:val="center"/>
          </w:tcPr>
          <w:p w14:paraId="1A6635A6">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w:t>
            </w:r>
          </w:p>
        </w:tc>
        <w:tc>
          <w:tcPr>
            <w:tcW w:w="1733" w:type="dxa"/>
            <w:vAlign w:val="center"/>
          </w:tcPr>
          <w:p w14:paraId="18BB2BBA">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1744" w:type="dxa"/>
            <w:vAlign w:val="center"/>
          </w:tcPr>
          <w:p w14:paraId="52D529C5">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实测/实测计算</w:t>
            </w:r>
          </w:p>
        </w:tc>
        <w:tc>
          <w:tcPr>
            <w:tcW w:w="1006" w:type="dxa"/>
            <w:vAlign w:val="center"/>
          </w:tcPr>
          <w:p w14:paraId="4446222A">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频次</w:t>
            </w:r>
          </w:p>
        </w:tc>
      </w:tr>
      <w:tr w14:paraId="592A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388DC807">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383" w:type="dxa"/>
            <w:vAlign w:val="center"/>
          </w:tcPr>
          <w:p w14:paraId="7BAE019D">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303" w:type="dxa"/>
            <w:vAlign w:val="center"/>
          </w:tcPr>
          <w:p w14:paraId="4DDEAA57">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733" w:type="dxa"/>
            <w:vAlign w:val="center"/>
          </w:tcPr>
          <w:p w14:paraId="7AF6E2F5">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744" w:type="dxa"/>
            <w:vAlign w:val="center"/>
          </w:tcPr>
          <w:p w14:paraId="63852F1C">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006" w:type="dxa"/>
            <w:vAlign w:val="center"/>
          </w:tcPr>
          <w:p w14:paraId="7F4104F7">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r>
      <w:tr w14:paraId="7266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5C815ED7">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4.4净购入电力和热力的排放因子数据及来源说明</w:t>
            </w:r>
          </w:p>
        </w:tc>
      </w:tr>
      <w:tr w14:paraId="01B7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5F56987A">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（排放因子9：电力供应的CO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排放因子）</w:t>
            </w:r>
          </w:p>
        </w:tc>
      </w:tr>
      <w:tr w14:paraId="7B69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0A4A3EF9">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种类</w:t>
            </w:r>
          </w:p>
        </w:tc>
        <w:tc>
          <w:tcPr>
            <w:tcW w:w="1383" w:type="dxa"/>
            <w:vAlign w:val="center"/>
          </w:tcPr>
          <w:p w14:paraId="72A30590">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数值</w:t>
            </w:r>
          </w:p>
        </w:tc>
        <w:tc>
          <w:tcPr>
            <w:tcW w:w="1303" w:type="dxa"/>
            <w:vAlign w:val="center"/>
          </w:tcPr>
          <w:p w14:paraId="2DA962E9">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w:t>
            </w:r>
          </w:p>
        </w:tc>
        <w:tc>
          <w:tcPr>
            <w:tcW w:w="1733" w:type="dxa"/>
            <w:vAlign w:val="center"/>
          </w:tcPr>
          <w:p w14:paraId="68BAC91F">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1744" w:type="dxa"/>
            <w:vAlign w:val="center"/>
          </w:tcPr>
          <w:p w14:paraId="619EF961">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实测/实测计算</w:t>
            </w:r>
          </w:p>
        </w:tc>
        <w:tc>
          <w:tcPr>
            <w:tcW w:w="1006" w:type="dxa"/>
            <w:vAlign w:val="center"/>
          </w:tcPr>
          <w:p w14:paraId="22BE1FCB">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频次</w:t>
            </w:r>
          </w:p>
        </w:tc>
      </w:tr>
      <w:tr w14:paraId="07C1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1112698F">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电力</w:t>
            </w:r>
          </w:p>
        </w:tc>
        <w:tc>
          <w:tcPr>
            <w:tcW w:w="1383" w:type="dxa"/>
            <w:vAlign w:val="center"/>
          </w:tcPr>
          <w:p w14:paraId="1F234C41">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eastAsia"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eastAsia" w:cs="Times New Roman"/>
                <w:color w:val="000000" w:themeColor="text1"/>
                <w:spacing w:val="0"/>
                <w:sz w:val="24"/>
                <w:szCs w:val="24"/>
                <w:highlight w:val="none"/>
                <w:lang w:eastAsia="zh-CN"/>
                <w14:textFill>
                  <w14:solidFill>
                    <w14:schemeClr w14:val="tx1"/>
                  </w14:solidFill>
                </w14:textFill>
              </w:rPr>
              <w:t>0.6776</w:t>
            </w:r>
          </w:p>
        </w:tc>
        <w:tc>
          <w:tcPr>
            <w:tcW w:w="1303" w:type="dxa"/>
            <w:vAlign w:val="center"/>
          </w:tcPr>
          <w:p w14:paraId="5527809B">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tCO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/MWh</w:t>
            </w:r>
          </w:p>
        </w:tc>
        <w:tc>
          <w:tcPr>
            <w:tcW w:w="1733" w:type="dxa"/>
            <w:vAlign w:val="center"/>
          </w:tcPr>
          <w:p w14:paraId="089C7937">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国家最新发布值</w:t>
            </w:r>
          </w:p>
        </w:tc>
        <w:tc>
          <w:tcPr>
            <w:tcW w:w="1744" w:type="dxa"/>
            <w:vAlign w:val="center"/>
          </w:tcPr>
          <w:p w14:paraId="7149908B">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006" w:type="dxa"/>
            <w:vAlign w:val="center"/>
          </w:tcPr>
          <w:p w14:paraId="67DD5EF9">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r>
      <w:tr w14:paraId="660D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6"/>
            <w:vAlign w:val="center"/>
          </w:tcPr>
          <w:p w14:paraId="6642516B">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left"/>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（排放因子10：热力供应的CO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排放因子）</w:t>
            </w:r>
          </w:p>
        </w:tc>
      </w:tr>
      <w:tr w14:paraId="4413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3" w:type="dxa"/>
            <w:vAlign w:val="center"/>
          </w:tcPr>
          <w:p w14:paraId="42B65A7F">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热力</w:t>
            </w:r>
          </w:p>
        </w:tc>
        <w:tc>
          <w:tcPr>
            <w:tcW w:w="1383" w:type="dxa"/>
            <w:vAlign w:val="center"/>
          </w:tcPr>
          <w:p w14:paraId="73EDF195">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303" w:type="dxa"/>
            <w:vAlign w:val="center"/>
          </w:tcPr>
          <w:p w14:paraId="5A731BCB">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tCO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/GJ</w:t>
            </w:r>
          </w:p>
        </w:tc>
        <w:tc>
          <w:tcPr>
            <w:tcW w:w="1733" w:type="dxa"/>
            <w:vAlign w:val="center"/>
          </w:tcPr>
          <w:p w14:paraId="7D4DDD15">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采用《企业温室气体排放核算方法与报告指南</w:t>
            </w:r>
          </w:p>
          <w:p w14:paraId="02082B7F">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（试行）</w:t>
            </w:r>
          </w:p>
          <w:p w14:paraId="6256E8E8">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排放因子数据</w:t>
            </w:r>
          </w:p>
        </w:tc>
        <w:tc>
          <w:tcPr>
            <w:tcW w:w="1744" w:type="dxa"/>
            <w:vAlign w:val="center"/>
          </w:tcPr>
          <w:p w14:paraId="607C8769">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1006" w:type="dxa"/>
            <w:vAlign w:val="center"/>
          </w:tcPr>
          <w:p w14:paraId="3F653BD7">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r>
    </w:tbl>
    <w:p w14:paraId="0F78EF62">
      <w:pPr>
        <w:pStyle w:val="5"/>
        <w:rPr>
          <w:rFonts w:hint="default" w:ascii="Times New Roman" w:hAnsi="Times New Roman" w:eastAsia="宋体" w:cs="Times New Roman"/>
          <w:color w:val="FF0000"/>
          <w:spacing w:val="0"/>
          <w:sz w:val="24"/>
          <w:szCs w:val="24"/>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注：电力排放因子来自表2022年</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华北</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区域电力平均二氧化碳排放因子。</w:t>
      </w:r>
    </w:p>
    <w:p w14:paraId="13EFA4FC">
      <w:pPr>
        <w:pStyle w:val="2"/>
        <w:keepNext/>
        <w:keepLines/>
        <w:pageBreakBefore w:val="0"/>
        <w:widowControl w:val="0"/>
        <w:kinsoku/>
        <w:wordWrap/>
        <w:overflowPunct/>
        <w:topLinePunct w:val="0"/>
        <w:autoSpaceDE/>
        <w:autoSpaceDN/>
        <w:bidi w:val="0"/>
        <w:adjustRightInd/>
        <w:snapToGrid/>
        <w:spacing w:before="120" w:after="120"/>
        <w:textAlignment w:val="auto"/>
        <w:rPr>
          <w:rFonts w:hint="default" w:ascii="Times New Roman" w:hAnsi="Times New Roman" w:eastAsia="宋体" w:cs="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14:textFill>
            <w14:solidFill>
              <w14:schemeClr w14:val="tx1"/>
            </w14:solidFill>
          </w14:textFill>
        </w:rPr>
        <w:t>五、其它希望说明的情况</w:t>
      </w:r>
    </w:p>
    <w:p w14:paraId="2D409257">
      <w:pPr>
        <w:bidi w:val="0"/>
        <w:rPr>
          <w:rFonts w:hint="default" w:ascii="Times New Roman" w:hAnsi="Times New Roman" w:eastAsia="宋体" w:cs="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lang w:eastAsia="zh-CN"/>
          <w14:textFill>
            <w14:solidFill>
              <w14:schemeClr w14:val="tx1"/>
            </w14:solidFill>
          </w14:textFill>
        </w:rPr>
        <w:t>无。</w:t>
      </w:r>
    </w:p>
    <w:p w14:paraId="24DE126F">
      <w:pPr>
        <w:bidi w:val="0"/>
        <w:rPr>
          <w:rFonts w:hint="default" w:ascii="Times New Roman" w:hAnsi="Times New Roman" w:eastAsia="宋体" w:cs="Times New Roman"/>
          <w:color w:val="000000" w:themeColor="text1"/>
          <w:spacing w:val="0"/>
          <w14:textFill>
            <w14:solidFill>
              <w14:schemeClr w14:val="tx1"/>
            </w14:solidFill>
          </w14:textFill>
        </w:rPr>
      </w:pPr>
    </w:p>
    <w:p w14:paraId="2EE2E51E">
      <w:pPr>
        <w:bidi w:val="0"/>
        <w:rPr>
          <w:rFonts w:hint="default" w:ascii="Times New Roman" w:hAnsi="Times New Roman" w:eastAsia="宋体" w:cs="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14:textFill>
            <w14:solidFill>
              <w14:schemeClr w14:val="tx1"/>
            </w14:solidFill>
          </w14:textFill>
        </w:rPr>
        <w:t>本报告真实、可靠，如报告中的信息与实际情况不符，本企业将承担相应的法律责任。</w:t>
      </w:r>
    </w:p>
    <w:p w14:paraId="5728F8AB">
      <w:pPr>
        <w:bidi w:val="0"/>
        <w:rPr>
          <w:rFonts w:hint="default" w:ascii="Times New Roman" w:hAnsi="Times New Roman" w:eastAsia="宋体" w:cs="Times New Roman"/>
          <w:color w:val="000000" w:themeColor="text1"/>
          <w:spacing w:val="0"/>
          <w14:textFill>
            <w14:solidFill>
              <w14:schemeClr w14:val="tx1"/>
            </w14:solidFill>
          </w14:textFill>
        </w:rPr>
      </w:pPr>
    </w:p>
    <w:p w14:paraId="23958B76">
      <w:pPr>
        <w:bidi w:val="0"/>
        <w:rPr>
          <w:rFonts w:hint="default" w:ascii="Times New Roman" w:hAnsi="Times New Roman" w:eastAsia="宋体" w:cs="Times New Roman"/>
          <w:color w:val="000000" w:themeColor="text1"/>
          <w:spacing w:val="0"/>
          <w14:textFill>
            <w14:solidFill>
              <w14:schemeClr w14:val="tx1"/>
            </w14:solidFill>
          </w14:textFill>
        </w:rPr>
      </w:pPr>
    </w:p>
    <w:p w14:paraId="7B1B00C6">
      <w:pPr>
        <w:bidi w:val="0"/>
        <w:ind w:left="0" w:leftChars="0" w:firstLine="0" w:firstLineChars="0"/>
        <w:rPr>
          <w:rFonts w:hint="default" w:ascii="Times New Roman" w:hAnsi="Times New Roman" w:eastAsia="宋体" w:cs="Times New Roman"/>
          <w:color w:val="000000" w:themeColor="text1"/>
          <w:spacing w:val="0"/>
          <w:lang w:val="en-US" w:eastAsia="zh-CN"/>
          <w14:textFill>
            <w14:solidFill>
              <w14:schemeClr w14:val="tx1"/>
            </w14:solidFill>
          </w14:textFill>
        </w:rPr>
      </w:pPr>
      <w:r>
        <w:rPr>
          <w:rFonts w:hint="default" w:ascii="Times New Roman" w:hAnsi="Times New Roman" w:eastAsia="宋体" w:cs="Times New Roman"/>
          <w:color w:val="000000" w:themeColor="text1"/>
          <w:spacing w:val="0"/>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lang w:eastAsia="zh-CN"/>
          <w14:textFill>
            <w14:solidFill>
              <w14:schemeClr w14:val="tx1"/>
            </w14:solidFill>
          </w14:textFill>
        </w:rPr>
        <w:t>泊头市益升机械制造有限责任公司</w:t>
      </w:r>
      <w:r>
        <w:rPr>
          <w:rFonts w:hint="default" w:ascii="Times New Roman" w:hAnsi="Times New Roman" w:eastAsia="宋体" w:cs="Times New Roman"/>
          <w:color w:val="000000" w:themeColor="text1"/>
          <w:spacing w:val="0"/>
          <w14:textFill>
            <w14:solidFill>
              <w14:schemeClr w14:val="tx1"/>
            </w14:solidFill>
          </w14:textFill>
        </w:rPr>
        <w:t>（盖章）</w:t>
      </w:r>
    </w:p>
    <w:p w14:paraId="5256AB34">
      <w:pPr>
        <w:bidi w:val="0"/>
        <w:ind w:left="0" w:leftChars="0" w:firstLine="0" w:firstLineChars="0"/>
        <w:rPr>
          <w:rFonts w:hint="default" w:ascii="Times New Roman" w:hAnsi="Times New Roman" w:eastAsia="宋体" w:cs="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14:textFill>
            <w14:solidFill>
              <w14:schemeClr w14:val="tx1"/>
            </w14:solidFill>
          </w14:textFill>
        </w:rPr>
        <w:t>202</w:t>
      </w:r>
      <w:r>
        <w:rPr>
          <w:rFonts w:hint="eastAsia" w:ascii="Times New Roman" w:hAnsi="Times New Roman" w:eastAsia="宋体" w:cs="Times New Roman"/>
          <w:color w:val="000000" w:themeColor="text1"/>
          <w:spacing w:val="0"/>
          <w:lang w:val="en-US" w:eastAsia="zh-CN"/>
          <w14:textFill>
            <w14:solidFill>
              <w14:schemeClr w14:val="tx1"/>
            </w14:solidFill>
          </w14:textFill>
        </w:rPr>
        <w:t>5</w:t>
      </w:r>
      <w:r>
        <w:rPr>
          <w:rFonts w:hint="default" w:ascii="Times New Roman" w:hAnsi="Times New Roman" w:eastAsia="宋体" w:cs="Times New Roman"/>
          <w:color w:val="000000" w:themeColor="text1"/>
          <w:spacing w:val="0"/>
          <w14:textFill>
            <w14:solidFill>
              <w14:schemeClr w14:val="tx1"/>
            </w14:solidFill>
          </w14:textFill>
        </w:rPr>
        <w:t>年</w:t>
      </w:r>
      <w:r>
        <w:rPr>
          <w:rFonts w:hint="eastAsia" w:ascii="Times New Roman" w:hAnsi="Times New Roman" w:eastAsia="宋体" w:cs="Times New Roman"/>
          <w:color w:val="000000" w:themeColor="text1"/>
          <w:spacing w:val="0"/>
          <w:lang w:val="en-US" w:eastAsia="zh-CN"/>
          <w14:textFill>
            <w14:solidFill>
              <w14:schemeClr w14:val="tx1"/>
            </w14:solidFill>
          </w14:textFill>
        </w:rPr>
        <w:t>3</w:t>
      </w:r>
      <w:r>
        <w:rPr>
          <w:rFonts w:hint="default" w:ascii="Times New Roman" w:hAnsi="Times New Roman" w:eastAsia="宋体" w:cs="Times New Roman"/>
          <w:color w:val="000000" w:themeColor="text1"/>
          <w:spacing w:val="0"/>
          <w14:textFill>
            <w14:solidFill>
              <w14:schemeClr w14:val="tx1"/>
            </w14:solidFill>
          </w14:textFill>
        </w:rPr>
        <w:t>月</w:t>
      </w:r>
      <w:r>
        <w:rPr>
          <w:rFonts w:hint="eastAsia" w:cs="Times New Roman"/>
          <w:color w:val="000000" w:themeColor="text1"/>
          <w:spacing w:val="0"/>
          <w:lang w:val="en-US" w:eastAsia="zh-CN"/>
          <w14:textFill>
            <w14:solidFill>
              <w14:schemeClr w14:val="tx1"/>
            </w14:solidFill>
          </w14:textFill>
        </w:rPr>
        <w:t>20</w:t>
      </w:r>
      <w:r>
        <w:rPr>
          <w:rFonts w:hint="default" w:ascii="Times New Roman" w:hAnsi="Times New Roman" w:eastAsia="宋体" w:cs="Times New Roman"/>
          <w:color w:val="000000" w:themeColor="text1"/>
          <w:spacing w:val="0"/>
          <w14:textFill>
            <w14:solidFill>
              <w14:schemeClr w14:val="tx1"/>
            </w14:solidFill>
          </w14:textFill>
        </w:rPr>
        <w:t>日</w:t>
      </w:r>
    </w:p>
    <w:p w14:paraId="3FB5CA7F">
      <w:pPr>
        <w:bidi w:val="0"/>
        <w:rPr>
          <w:rFonts w:hint="default" w:ascii="Times New Roman" w:hAnsi="Times New Roman" w:eastAsia="宋体" w:cs="Times New Roman"/>
          <w:color w:val="FF0000"/>
          <w:spacing w:val="0"/>
        </w:rPr>
        <w:sectPr>
          <w:pgSz w:w="11906" w:h="16838"/>
          <w:pgMar w:top="1440" w:right="1800" w:bottom="1440" w:left="1800" w:header="851" w:footer="992" w:gutter="0"/>
          <w:pgNumType w:fmt="decimal"/>
          <w:cols w:space="425" w:num="1"/>
          <w:docGrid w:type="lines" w:linePitch="312" w:charSpace="0"/>
        </w:sectPr>
      </w:pPr>
    </w:p>
    <w:p w14:paraId="698B169D">
      <w:pPr>
        <w:pStyle w:val="4"/>
        <w:bidi w:val="0"/>
        <w:ind w:left="0" w:leftChars="0" w:firstLine="0" w:firstLineChars="0"/>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附表1  报告主体202</w:t>
      </w: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年温室气体排放量汇总表</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5"/>
        <w:gridCol w:w="3144"/>
      </w:tblGrid>
      <w:tr w14:paraId="742D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4" w:type="pct"/>
            <w:vAlign w:val="center"/>
          </w:tcPr>
          <w:p w14:paraId="2F99B43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碳排放活动</w:t>
            </w:r>
          </w:p>
        </w:tc>
        <w:tc>
          <w:tcPr>
            <w:tcW w:w="1845" w:type="pct"/>
            <w:vAlign w:val="center"/>
          </w:tcPr>
          <w:p w14:paraId="0274217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排放量（单位：tCO</w:t>
            </w:r>
            <w:r>
              <w:rPr>
                <w:rFonts w:hint="default" w:ascii="Times New Roman" w:hAnsi="Times New Roman" w:eastAsia="宋体" w:cs="Times New Roman"/>
                <w:b/>
                <w:bCs/>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4"/>
                <w:szCs w:val="24"/>
                <w:vertAlign w:val="baseline"/>
                <w:lang w:val="en-US" w:eastAsia="zh-CN"/>
                <w14:textFill>
                  <w14:solidFill>
                    <w14:schemeClr w14:val="tx1"/>
                  </w14:solidFill>
                </w14:textFill>
              </w:rPr>
              <w:t>）</w:t>
            </w:r>
          </w:p>
        </w:tc>
      </w:tr>
      <w:tr w14:paraId="43C1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4" w:type="pct"/>
            <w:vAlign w:val="center"/>
          </w:tcPr>
          <w:p w14:paraId="62D1D88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企业温室气体CO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排放总量（tCO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845" w:type="pct"/>
            <w:vAlign w:val="center"/>
          </w:tcPr>
          <w:p w14:paraId="5A2BEE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eastAsia" w:cs="Times New Roman"/>
                <w:color w:val="000000" w:themeColor="text1"/>
                <w:spacing w:val="0"/>
                <w:sz w:val="24"/>
                <w:szCs w:val="24"/>
                <w:highlight w:val="none"/>
                <w:vertAlign w:val="baseline"/>
                <w:lang w:val="en-US" w:eastAsia="zh-CN"/>
                <w14:textFill>
                  <w14:solidFill>
                    <w14:schemeClr w14:val="tx1"/>
                  </w14:solidFill>
                </w14:textFill>
              </w:rPr>
              <w:t>5422.33</w:t>
            </w:r>
          </w:p>
        </w:tc>
      </w:tr>
      <w:tr w14:paraId="59F8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4" w:type="pct"/>
            <w:vAlign w:val="center"/>
          </w:tcPr>
          <w:p w14:paraId="42C6A06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化石燃料燃烧CO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排放（tCO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845" w:type="pct"/>
            <w:vAlign w:val="center"/>
          </w:tcPr>
          <w:p w14:paraId="3CBBE4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0</w:t>
            </w:r>
          </w:p>
        </w:tc>
      </w:tr>
      <w:tr w14:paraId="21D5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4" w:type="pct"/>
            <w:vAlign w:val="center"/>
          </w:tcPr>
          <w:p w14:paraId="6271BFF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碳酸盐使用过程CO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排放（tCO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845" w:type="pct"/>
            <w:vAlign w:val="center"/>
          </w:tcPr>
          <w:p w14:paraId="0DE4D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0</w:t>
            </w:r>
          </w:p>
        </w:tc>
      </w:tr>
      <w:tr w14:paraId="17C3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4" w:type="pct"/>
            <w:vAlign w:val="center"/>
          </w:tcPr>
          <w:p w14:paraId="4C3FE43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废水处理过程CO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排放（tCO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845" w:type="pct"/>
            <w:vAlign w:val="center"/>
          </w:tcPr>
          <w:p w14:paraId="0AA829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0</w:t>
            </w:r>
          </w:p>
        </w:tc>
      </w:tr>
      <w:tr w14:paraId="03E4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4" w:type="pct"/>
            <w:vAlign w:val="center"/>
          </w:tcPr>
          <w:p w14:paraId="2FE2828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回收利用量（tCO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845" w:type="pct"/>
            <w:vAlign w:val="center"/>
          </w:tcPr>
          <w:p w14:paraId="7B56AD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0</w:t>
            </w:r>
          </w:p>
        </w:tc>
      </w:tr>
      <w:tr w14:paraId="4F84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4" w:type="pct"/>
            <w:vAlign w:val="center"/>
          </w:tcPr>
          <w:p w14:paraId="3A9D840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企业净购入电力隐含的CO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排放（tCO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845" w:type="pct"/>
            <w:shd w:val="clear" w:color="auto" w:fill="auto"/>
            <w:vAlign w:val="center"/>
          </w:tcPr>
          <w:p w14:paraId="005DBE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eastAsia" w:cs="Times New Roman"/>
                <w:color w:val="000000" w:themeColor="text1"/>
                <w:spacing w:val="0"/>
                <w:sz w:val="24"/>
                <w:szCs w:val="24"/>
                <w:highlight w:val="none"/>
                <w:vertAlign w:val="baseline"/>
                <w:lang w:val="en-US" w:eastAsia="zh-CN"/>
                <w14:textFill>
                  <w14:solidFill>
                    <w14:schemeClr w14:val="tx1"/>
                  </w14:solidFill>
                </w14:textFill>
              </w:rPr>
              <w:t>5422.33</w:t>
            </w:r>
          </w:p>
        </w:tc>
      </w:tr>
      <w:tr w14:paraId="0598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4" w:type="pct"/>
            <w:vAlign w:val="center"/>
          </w:tcPr>
          <w:p w14:paraId="3FC0E46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企业净购入热力隐含的CO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排放（tCO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845" w:type="pct"/>
            <w:vAlign w:val="center"/>
          </w:tcPr>
          <w:p w14:paraId="54C600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0</w:t>
            </w:r>
          </w:p>
        </w:tc>
      </w:tr>
    </w:tbl>
    <w:p w14:paraId="3F13705F">
      <w:pPr>
        <w:bidi w:val="0"/>
        <w:ind w:left="0" w:leftChars="0" w:firstLine="0" w:firstLineChars="0"/>
        <w:rPr>
          <w:rFonts w:hint="default" w:ascii="Times New Roman" w:hAnsi="Times New Roman" w:eastAsia="宋体" w:cs="Times New Roman"/>
          <w:color w:val="FF0000"/>
          <w:spacing w:val="0"/>
        </w:rPr>
        <w:sectPr>
          <w:pgSz w:w="11906" w:h="16838"/>
          <w:pgMar w:top="1440" w:right="1800" w:bottom="1440" w:left="1800" w:header="851" w:footer="992" w:gutter="0"/>
          <w:pgNumType w:fmt="decimal"/>
          <w:cols w:space="425" w:num="1"/>
          <w:docGrid w:type="lines" w:linePitch="312" w:charSpace="0"/>
        </w:sectPr>
      </w:pPr>
      <w:bookmarkStart w:id="0" w:name="_GoBack"/>
      <w:bookmarkEnd w:id="0"/>
    </w:p>
    <w:p w14:paraId="5D31D2DF">
      <w:pPr>
        <w:pStyle w:val="4"/>
        <w:bidi w:val="0"/>
        <w:ind w:left="0" w:leftChars="0" w:firstLine="0" w:firstLineChars="0"/>
        <w:rPr>
          <w:rFonts w:hint="default" w:ascii="Times New Roman" w:hAnsi="Times New Roman" w:eastAsia="宋体" w:cs="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14:textFill>
            <w14:solidFill>
              <w14:schemeClr w14:val="tx1"/>
            </w14:solidFill>
          </w14:textFill>
        </w:rPr>
        <w:t xml:space="preserve">附表2 </w:t>
      </w:r>
      <w:r>
        <w:rPr>
          <w:rFonts w:hint="default" w:ascii="Times New Roman" w:hAnsi="Times New Roman" w:eastAsia="宋体" w:cs="Times New Roman"/>
          <w:color w:val="000000" w:themeColor="text1"/>
          <w:spacing w:val="0"/>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14:textFill>
            <w14:solidFill>
              <w14:schemeClr w14:val="tx1"/>
            </w14:solidFill>
          </w14:textFill>
        </w:rPr>
        <w:t>化石燃料燃烧的活动水平和排放因子数据一览表</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1581"/>
        <w:gridCol w:w="1930"/>
        <w:gridCol w:w="1410"/>
        <w:gridCol w:w="1739"/>
        <w:gridCol w:w="1459"/>
        <w:gridCol w:w="2018"/>
        <w:gridCol w:w="1251"/>
        <w:gridCol w:w="1575"/>
      </w:tblGrid>
      <w:tr w14:paraId="384C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Align w:val="center"/>
          </w:tcPr>
          <w:p w14:paraId="5BEDDA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燃料品种</w:t>
            </w:r>
          </w:p>
        </w:tc>
        <w:tc>
          <w:tcPr>
            <w:tcW w:w="557" w:type="pct"/>
            <w:vAlign w:val="center"/>
          </w:tcPr>
          <w:p w14:paraId="46EA55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燃烧量</w:t>
            </w:r>
          </w:p>
          <w:p w14:paraId="2C1D50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（t）</w:t>
            </w:r>
          </w:p>
        </w:tc>
        <w:tc>
          <w:tcPr>
            <w:tcW w:w="680" w:type="pct"/>
            <w:vAlign w:val="center"/>
          </w:tcPr>
          <w:p w14:paraId="36342F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含碳量</w:t>
            </w:r>
          </w:p>
          <w:p w14:paraId="65EAC2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（吨碳/t）</w:t>
            </w:r>
          </w:p>
        </w:tc>
        <w:tc>
          <w:tcPr>
            <w:tcW w:w="497" w:type="pct"/>
            <w:vAlign w:val="center"/>
          </w:tcPr>
          <w:p w14:paraId="18C743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613" w:type="pct"/>
            <w:vAlign w:val="center"/>
          </w:tcPr>
          <w:p w14:paraId="3BFBAD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低位发热量（GJ/t）</w:t>
            </w:r>
          </w:p>
        </w:tc>
        <w:tc>
          <w:tcPr>
            <w:tcW w:w="514" w:type="pct"/>
            <w:vAlign w:val="center"/>
          </w:tcPr>
          <w:p w14:paraId="0BC76C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711" w:type="pct"/>
            <w:vAlign w:val="center"/>
          </w:tcPr>
          <w:p w14:paraId="0FA3ED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单位热值含碳量（吨碳/GJ）</w:t>
            </w:r>
          </w:p>
        </w:tc>
        <w:tc>
          <w:tcPr>
            <w:tcW w:w="441" w:type="pct"/>
            <w:vAlign w:val="center"/>
          </w:tcPr>
          <w:p w14:paraId="264588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碳氧化率（%）</w:t>
            </w:r>
          </w:p>
        </w:tc>
        <w:tc>
          <w:tcPr>
            <w:tcW w:w="555" w:type="pct"/>
            <w:vAlign w:val="center"/>
          </w:tcPr>
          <w:p w14:paraId="4DF7D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r>
      <w:tr w14:paraId="796B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Align w:val="center"/>
          </w:tcPr>
          <w:p w14:paraId="42AFF2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557" w:type="pct"/>
            <w:vAlign w:val="center"/>
          </w:tcPr>
          <w:p w14:paraId="514611FB">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center"/>
              <w:textAlignment w:val="center"/>
              <w:rPr>
                <w:rFonts w:hint="default" w:ascii="Times New Roman" w:hAnsi="Times New Roman" w:eastAsia="宋体" w:cs="Times New Roman"/>
                <w:color w:val="000000" w:themeColor="text1"/>
                <w:spacing w:val="0"/>
                <w:sz w:val="24"/>
                <w:szCs w:val="24"/>
                <w:vertAlign w:val="baseline"/>
                <w:lang w:val="en-US"/>
                <w14:textFill>
                  <w14:solidFill>
                    <w14:schemeClr w14:val="tx1"/>
                  </w14:solidFill>
                </w14:textFill>
              </w:rPr>
            </w:pPr>
            <w:r>
              <w:rPr>
                <w:rFonts w:hint="eastAsia"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680" w:type="pct"/>
            <w:vAlign w:val="center"/>
          </w:tcPr>
          <w:p w14:paraId="5FBEC17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497" w:type="pct"/>
            <w:vAlign w:val="center"/>
          </w:tcPr>
          <w:p w14:paraId="0F56CD8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613" w:type="pct"/>
            <w:vAlign w:val="center"/>
          </w:tcPr>
          <w:p w14:paraId="13DD96F6">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center"/>
              <w:textAlignment w:val="cente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514" w:type="pct"/>
            <w:vAlign w:val="center"/>
          </w:tcPr>
          <w:p w14:paraId="3DC9FED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eastAsia"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711" w:type="pct"/>
            <w:vAlign w:val="center"/>
          </w:tcPr>
          <w:p w14:paraId="5208F92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441" w:type="pct"/>
            <w:vAlign w:val="center"/>
          </w:tcPr>
          <w:p w14:paraId="1E3728ED">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555" w:type="pct"/>
            <w:vAlign w:val="center"/>
          </w:tcPr>
          <w:p w14:paraId="643755D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eastAsia"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r>
    </w:tbl>
    <w:p w14:paraId="538BF261">
      <w:pPr>
        <w:pStyle w:val="4"/>
        <w:bidi w:val="0"/>
        <w:ind w:left="0" w:leftChars="0" w:firstLine="0" w:firstLineChars="0"/>
        <w:rPr>
          <w:rFonts w:hint="default" w:ascii="Times New Roman" w:hAnsi="Times New Roman" w:eastAsia="宋体" w:cs="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14:textFill>
            <w14:solidFill>
              <w14:schemeClr w14:val="tx1"/>
            </w14:solidFill>
          </w14:textFill>
        </w:rPr>
        <w:t>附表</w:t>
      </w:r>
      <w:r>
        <w:rPr>
          <w:rFonts w:hint="default" w:ascii="Times New Roman" w:hAnsi="Times New Roman" w:eastAsia="宋体" w:cs="Times New Roman"/>
          <w:color w:val="000000" w:themeColor="text1"/>
          <w:spacing w:val="0"/>
          <w:lang w:val="en-US" w:eastAsia="zh-CN"/>
          <w14:textFill>
            <w14:solidFill>
              <w14:schemeClr w14:val="tx1"/>
            </w14:solidFill>
          </w14:textFill>
        </w:rPr>
        <w:t xml:space="preserve">3 </w:t>
      </w:r>
      <w:r>
        <w:rPr>
          <w:rFonts w:hint="default" w:ascii="Times New Roman" w:hAnsi="Times New Roman" w:eastAsia="宋体" w:cs="Times New Roman"/>
          <w:color w:val="000000" w:themeColor="text1"/>
          <w:spacing w:val="0"/>
          <w14:textFill>
            <w14:solidFill>
              <w14:schemeClr w14:val="tx1"/>
            </w14:solidFill>
          </w14:textFill>
        </w:rPr>
        <w:t xml:space="preserve"> 工业</w:t>
      </w:r>
      <w:r>
        <w:rPr>
          <w:rFonts w:hint="default" w:ascii="Times New Roman" w:hAnsi="Times New Roman" w:eastAsia="宋体" w:cs="Times New Roman"/>
          <w:color w:val="000000" w:themeColor="text1"/>
          <w:spacing w:val="0"/>
          <w:lang w:val="en-US" w:eastAsia="zh-CN"/>
          <w14:textFill>
            <w14:solidFill>
              <w14:schemeClr w14:val="tx1"/>
            </w14:solidFill>
          </w14:textFill>
        </w:rPr>
        <w:t>生产过程CO</w:t>
      </w:r>
      <w:r>
        <w:rPr>
          <w:rFonts w:hint="default" w:ascii="Times New Roman" w:hAnsi="Times New Roman" w:eastAsia="宋体" w:cs="Times New Roman"/>
          <w:color w:val="000000" w:themeColor="text1"/>
          <w:spacing w:val="0"/>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lang w:val="en-US" w:eastAsia="zh-CN"/>
          <w14:textFill>
            <w14:solidFill>
              <w14:schemeClr w14:val="tx1"/>
            </w14:solidFill>
          </w14:textFill>
        </w:rPr>
        <w:t>排放的</w:t>
      </w:r>
      <w:r>
        <w:rPr>
          <w:rFonts w:hint="default" w:ascii="Times New Roman" w:hAnsi="Times New Roman" w:eastAsia="宋体" w:cs="Times New Roman"/>
          <w:color w:val="000000" w:themeColor="text1"/>
          <w:spacing w:val="0"/>
          <w14:textFill>
            <w14:solidFill>
              <w14:schemeClr w14:val="tx1"/>
            </w14:solidFill>
          </w14:textFill>
        </w:rPr>
        <w:t>活动水平及排放因子数据一览表</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6"/>
        <w:gridCol w:w="3264"/>
        <w:gridCol w:w="3207"/>
        <w:gridCol w:w="4726"/>
      </w:tblGrid>
      <w:tr w14:paraId="570C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7" w:type="pct"/>
            <w:vAlign w:val="center"/>
          </w:tcPr>
          <w:p w14:paraId="09717CC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参数名称</w:t>
            </w:r>
          </w:p>
        </w:tc>
        <w:tc>
          <w:tcPr>
            <w:tcW w:w="1152" w:type="pct"/>
            <w:vAlign w:val="center"/>
          </w:tcPr>
          <w:p w14:paraId="4C902F7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活动水平数据（吨）</w:t>
            </w:r>
          </w:p>
        </w:tc>
        <w:tc>
          <w:tcPr>
            <w:tcW w:w="1132" w:type="pct"/>
            <w:vAlign w:val="center"/>
          </w:tcPr>
          <w:p w14:paraId="21014CA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含碳量（单位：tC/吨）</w:t>
            </w:r>
          </w:p>
        </w:tc>
        <w:tc>
          <w:tcPr>
            <w:tcW w:w="1668" w:type="pct"/>
            <w:vAlign w:val="center"/>
          </w:tcPr>
          <w:p w14:paraId="40F8006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r>
      <w:tr w14:paraId="54BD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7" w:type="pct"/>
            <w:vAlign w:val="center"/>
          </w:tcPr>
          <w:p w14:paraId="0DE6746B">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152" w:type="pct"/>
            <w:vAlign w:val="center"/>
          </w:tcPr>
          <w:p w14:paraId="3C152FAA">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132" w:type="pct"/>
            <w:vAlign w:val="center"/>
          </w:tcPr>
          <w:p w14:paraId="444FC5FC">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1668" w:type="pct"/>
            <w:vAlign w:val="center"/>
          </w:tcPr>
          <w:p w14:paraId="07BC6D1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sym w:font="Wingdings" w:char="00A8"/>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 xml:space="preserve">检测值  </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sym w:font="Wingdings" w:char="00A8"/>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 xml:space="preserve">化学计算  </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sym w:font="Wingdings" w:char="00A8"/>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缺省值</w:t>
            </w:r>
          </w:p>
        </w:tc>
      </w:tr>
    </w:tbl>
    <w:p w14:paraId="45B0A4F1">
      <w:pPr>
        <w:pStyle w:val="4"/>
        <w:bidi w:val="0"/>
        <w:ind w:left="0" w:leftChars="0" w:firstLine="0" w:firstLineChars="0"/>
        <w:rPr>
          <w:rFonts w:hint="default" w:ascii="Times New Roman" w:hAnsi="Times New Roman" w:eastAsia="宋体" w:cs="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14:textFill>
            <w14:solidFill>
              <w14:schemeClr w14:val="tx1"/>
            </w14:solidFill>
          </w14:textFill>
        </w:rPr>
        <w:t>附表4</w:t>
      </w:r>
      <w:r>
        <w:rPr>
          <w:rFonts w:hint="default" w:ascii="Times New Roman" w:hAnsi="Times New Roman" w:eastAsia="宋体" w:cs="Times New Roman"/>
          <w:color w:val="000000" w:themeColor="text1"/>
          <w:spacing w:val="0"/>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14:textFill>
            <w14:solidFill>
              <w14:schemeClr w14:val="tx1"/>
            </w14:solidFill>
          </w14:textFill>
        </w:rPr>
        <w:t xml:space="preserve"> 废水处理过程</w:t>
      </w:r>
      <w:r>
        <w:rPr>
          <w:rFonts w:hint="default" w:ascii="Times New Roman" w:hAnsi="Times New Roman" w:eastAsia="宋体" w:cs="Times New Roman"/>
          <w:color w:val="000000" w:themeColor="text1"/>
          <w:spacing w:val="0"/>
          <w:lang w:val="en-US" w:eastAsia="zh-CN"/>
          <w14:textFill>
            <w14:solidFill>
              <w14:schemeClr w14:val="tx1"/>
            </w14:solidFill>
          </w14:textFill>
        </w:rPr>
        <w:t>CO</w:t>
      </w:r>
      <w:r>
        <w:rPr>
          <w:rFonts w:hint="default" w:ascii="Times New Roman" w:hAnsi="Times New Roman" w:eastAsia="宋体" w:cs="Times New Roman"/>
          <w:color w:val="000000" w:themeColor="text1"/>
          <w:spacing w:val="0"/>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lang w:val="en-US" w:eastAsia="zh-CN"/>
          <w14:textFill>
            <w14:solidFill>
              <w14:schemeClr w14:val="tx1"/>
            </w14:solidFill>
          </w14:textFill>
        </w:rPr>
        <w:t>排放的</w:t>
      </w:r>
      <w:r>
        <w:rPr>
          <w:rFonts w:hint="default" w:ascii="Times New Roman" w:hAnsi="Times New Roman" w:eastAsia="宋体" w:cs="Times New Roman"/>
          <w:color w:val="000000" w:themeColor="text1"/>
          <w:spacing w:val="0"/>
          <w14:textFill>
            <w14:solidFill>
              <w14:schemeClr w14:val="tx1"/>
            </w14:solidFill>
          </w14:textFill>
        </w:rPr>
        <w:t>活动水平及排放因子数据一览表</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211"/>
        <w:gridCol w:w="1369"/>
        <w:gridCol w:w="1379"/>
        <w:gridCol w:w="1333"/>
        <w:gridCol w:w="1459"/>
        <w:gridCol w:w="699"/>
        <w:gridCol w:w="1265"/>
        <w:gridCol w:w="1137"/>
        <w:gridCol w:w="1332"/>
        <w:gridCol w:w="744"/>
        <w:gridCol w:w="1282"/>
      </w:tblGrid>
      <w:tr w14:paraId="6CD0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vAlign w:val="center"/>
          </w:tcPr>
          <w:p w14:paraId="7323CC4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参数名称</w:t>
            </w:r>
          </w:p>
        </w:tc>
        <w:tc>
          <w:tcPr>
            <w:tcW w:w="427" w:type="pct"/>
            <w:vAlign w:val="center"/>
          </w:tcPr>
          <w:p w14:paraId="5A7A90E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活动水平数据</w:t>
            </w:r>
          </w:p>
          <w:p w14:paraId="426DD86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（万m</w:t>
            </w:r>
            <w:r>
              <w:rPr>
                <w:rFonts w:hint="default" w:ascii="Times New Roman" w:hAnsi="Times New Roman" w:eastAsia="宋体" w:cs="Times New Roman"/>
                <w:color w:val="000000" w:themeColor="text1"/>
                <w:spacing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483" w:type="pct"/>
            <w:vAlign w:val="center"/>
          </w:tcPr>
          <w:p w14:paraId="66A6F90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COD</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in</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（单位：kgCO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pacing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486" w:type="pct"/>
            <w:vAlign w:val="center"/>
          </w:tcPr>
          <w:p w14:paraId="46D24E2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数据来源</w:t>
            </w:r>
          </w:p>
        </w:tc>
        <w:tc>
          <w:tcPr>
            <w:tcW w:w="470" w:type="pct"/>
            <w:vAlign w:val="center"/>
          </w:tcPr>
          <w:p w14:paraId="3A89789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COD</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out</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（单位：kgCO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pacing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w:t>
            </w:r>
          </w:p>
        </w:tc>
        <w:tc>
          <w:tcPr>
            <w:tcW w:w="515" w:type="pct"/>
            <w:vAlign w:val="center"/>
          </w:tcPr>
          <w:p w14:paraId="5DF2EEC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246" w:type="pct"/>
            <w:vAlign w:val="center"/>
          </w:tcPr>
          <w:p w14:paraId="49912EC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甲烷回收量</w:t>
            </w:r>
          </w:p>
        </w:tc>
        <w:tc>
          <w:tcPr>
            <w:tcW w:w="446" w:type="pct"/>
            <w:vAlign w:val="center"/>
          </w:tcPr>
          <w:p w14:paraId="3246558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401" w:type="pct"/>
            <w:vAlign w:val="center"/>
          </w:tcPr>
          <w:p w14:paraId="1B00592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B</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o</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（单位：kgCH</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/kgCOD）</w:t>
            </w:r>
          </w:p>
        </w:tc>
        <w:tc>
          <w:tcPr>
            <w:tcW w:w="470" w:type="pct"/>
            <w:vAlign w:val="center"/>
          </w:tcPr>
          <w:p w14:paraId="2A2E81D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c>
          <w:tcPr>
            <w:tcW w:w="262" w:type="pct"/>
            <w:vAlign w:val="center"/>
          </w:tcPr>
          <w:p w14:paraId="0CCF4AF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MCF（无量纲）</w:t>
            </w:r>
          </w:p>
        </w:tc>
        <w:tc>
          <w:tcPr>
            <w:tcW w:w="452" w:type="pct"/>
            <w:vAlign w:val="center"/>
          </w:tcPr>
          <w:p w14:paraId="5AF9BAA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r>
      <w:tr w14:paraId="40E2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vAlign w:val="center"/>
          </w:tcPr>
          <w:p w14:paraId="4A5BEE3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废水处理量</w:t>
            </w:r>
          </w:p>
        </w:tc>
        <w:tc>
          <w:tcPr>
            <w:tcW w:w="427" w:type="pct"/>
            <w:vAlign w:val="center"/>
          </w:tcPr>
          <w:p w14:paraId="18F7A01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483" w:type="pct"/>
            <w:vAlign w:val="center"/>
          </w:tcPr>
          <w:p w14:paraId="66106CE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486" w:type="pct"/>
            <w:vAlign w:val="center"/>
          </w:tcPr>
          <w:p w14:paraId="5F107B0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470" w:type="pct"/>
            <w:vAlign w:val="center"/>
          </w:tcPr>
          <w:p w14:paraId="79440D7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515" w:type="pct"/>
            <w:vAlign w:val="center"/>
          </w:tcPr>
          <w:p w14:paraId="456E6F3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246" w:type="pct"/>
            <w:vAlign w:val="center"/>
          </w:tcPr>
          <w:p w14:paraId="2B43ABF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446" w:type="pct"/>
            <w:vAlign w:val="center"/>
          </w:tcPr>
          <w:p w14:paraId="2AC0D1E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401" w:type="pct"/>
            <w:vAlign w:val="center"/>
          </w:tcPr>
          <w:p w14:paraId="0581374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470" w:type="pct"/>
            <w:vAlign w:val="center"/>
          </w:tcPr>
          <w:p w14:paraId="7A1AF2D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262" w:type="pct"/>
            <w:vAlign w:val="center"/>
          </w:tcPr>
          <w:p w14:paraId="6469493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c>
          <w:tcPr>
            <w:tcW w:w="452" w:type="pct"/>
            <w:vAlign w:val="center"/>
          </w:tcPr>
          <w:p w14:paraId="2DCA58A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w:t>
            </w:r>
          </w:p>
        </w:tc>
      </w:tr>
    </w:tbl>
    <w:p w14:paraId="1DA8EAFA">
      <w:pPr>
        <w:bidi w:val="0"/>
        <w:rPr>
          <w:rFonts w:hint="default" w:ascii="Times New Roman" w:hAnsi="Times New Roman" w:eastAsia="宋体" w:cs="Times New Roman"/>
          <w:color w:val="FF0000"/>
          <w:spacing w:val="0"/>
        </w:rPr>
        <w:sectPr>
          <w:pgSz w:w="16838" w:h="11906" w:orient="landscape"/>
          <w:pgMar w:top="1800" w:right="1440" w:bottom="1800" w:left="1440" w:header="851" w:footer="992" w:gutter="0"/>
          <w:pgNumType w:fmt="decimal"/>
          <w:cols w:space="425" w:num="1"/>
          <w:docGrid w:type="lines" w:linePitch="312" w:charSpace="0"/>
        </w:sectPr>
      </w:pPr>
    </w:p>
    <w:p w14:paraId="5972C77E">
      <w:pPr>
        <w:pStyle w:val="4"/>
        <w:bidi w:val="0"/>
        <w:ind w:left="0" w:leftChars="0" w:firstLine="0" w:firstLineChars="0"/>
        <w:rPr>
          <w:rFonts w:hint="default" w:ascii="Times New Roman" w:hAnsi="Times New Roman" w:eastAsia="宋体" w:cs="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14:textFill>
            <w14:solidFill>
              <w14:schemeClr w14:val="tx1"/>
            </w14:solidFill>
          </w14:textFill>
        </w:rPr>
        <w:t>附表</w:t>
      </w:r>
      <w:r>
        <w:rPr>
          <w:rFonts w:hint="default" w:ascii="Times New Roman" w:hAnsi="Times New Roman" w:eastAsia="宋体" w:cs="Times New Roman"/>
          <w:color w:val="000000" w:themeColor="text1"/>
          <w:spacing w:val="0"/>
          <w:lang w:val="en-US" w:eastAsia="zh-CN"/>
          <w14:textFill>
            <w14:solidFill>
              <w14:schemeClr w14:val="tx1"/>
            </w14:solidFill>
          </w14:textFill>
        </w:rPr>
        <w:t>5</w:t>
      </w:r>
      <w:r>
        <w:rPr>
          <w:rFonts w:hint="default" w:ascii="Times New Roman" w:hAnsi="Times New Roman" w:eastAsia="宋体" w:cs="Times New Roman"/>
          <w:color w:val="000000" w:themeColor="text1"/>
          <w:spacing w:val="0"/>
          <w14:textFill>
            <w14:solidFill>
              <w14:schemeClr w14:val="tx1"/>
            </w14:solidFill>
          </w14:textFill>
        </w:rPr>
        <w:t xml:space="preserve"> </w:t>
      </w:r>
      <w:r>
        <w:rPr>
          <w:rFonts w:hint="default" w:ascii="Times New Roman" w:hAnsi="Times New Roman" w:eastAsia="宋体" w:cs="Times New Roman"/>
          <w:color w:val="000000" w:themeColor="text1"/>
          <w:spacing w:val="0"/>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14:textFill>
            <w14:solidFill>
              <w14:schemeClr w14:val="tx1"/>
            </w14:solidFill>
          </w14:textFill>
        </w:rPr>
        <w:t>企业净购入的电力</w:t>
      </w:r>
      <w:r>
        <w:rPr>
          <w:rFonts w:hint="default" w:ascii="Times New Roman" w:hAnsi="Times New Roman" w:eastAsia="宋体" w:cs="Times New Roman"/>
          <w:color w:val="000000" w:themeColor="text1"/>
          <w:spacing w:val="0"/>
          <w:lang w:val="en-US" w:eastAsia="zh-CN"/>
          <w14:textFill>
            <w14:solidFill>
              <w14:schemeClr w14:val="tx1"/>
            </w14:solidFill>
          </w14:textFill>
        </w:rPr>
        <w:t>和热力</w:t>
      </w:r>
      <w:r>
        <w:rPr>
          <w:rFonts w:hint="default" w:ascii="Times New Roman" w:hAnsi="Times New Roman" w:eastAsia="宋体" w:cs="Times New Roman"/>
          <w:color w:val="000000" w:themeColor="text1"/>
          <w:spacing w:val="0"/>
          <w14:textFill>
            <w14:solidFill>
              <w14:schemeClr w14:val="tx1"/>
            </w14:solidFill>
          </w14:textFill>
        </w:rPr>
        <w:t>活动水平和排放因子数据一览表</w:t>
      </w:r>
    </w:p>
    <w:tbl>
      <w:tblPr>
        <w:tblStyle w:val="1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2265"/>
        <w:gridCol w:w="2135"/>
        <w:gridCol w:w="2016"/>
        <w:gridCol w:w="3232"/>
        <w:gridCol w:w="3119"/>
      </w:tblGrid>
      <w:tr w14:paraId="7D92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3" w:type="pct"/>
            <w:vAlign w:val="center"/>
          </w:tcPr>
          <w:p w14:paraId="149EE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类型</w:t>
            </w:r>
          </w:p>
        </w:tc>
        <w:tc>
          <w:tcPr>
            <w:tcW w:w="799" w:type="pct"/>
            <w:vAlign w:val="center"/>
          </w:tcPr>
          <w:p w14:paraId="461B68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净购入量</w:t>
            </w:r>
          </w:p>
        </w:tc>
        <w:tc>
          <w:tcPr>
            <w:tcW w:w="753" w:type="pct"/>
            <w:vAlign w:val="center"/>
          </w:tcPr>
          <w:p w14:paraId="58F42C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购入量</w:t>
            </w:r>
          </w:p>
        </w:tc>
        <w:tc>
          <w:tcPr>
            <w:tcW w:w="711" w:type="pct"/>
            <w:vAlign w:val="center"/>
          </w:tcPr>
          <w:p w14:paraId="1DB4C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外供量</w:t>
            </w:r>
          </w:p>
        </w:tc>
        <w:tc>
          <w:tcPr>
            <w:tcW w:w="1140" w:type="pct"/>
            <w:vAlign w:val="center"/>
          </w:tcPr>
          <w:p w14:paraId="58E546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排放因子</w:t>
            </w:r>
          </w:p>
        </w:tc>
        <w:tc>
          <w:tcPr>
            <w:tcW w:w="1101" w:type="pct"/>
            <w:vAlign w:val="center"/>
          </w:tcPr>
          <w:p w14:paraId="74C322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数据来源</w:t>
            </w:r>
          </w:p>
        </w:tc>
      </w:tr>
      <w:tr w14:paraId="23BA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3" w:type="pct"/>
            <w:vAlign w:val="center"/>
          </w:tcPr>
          <w:p w14:paraId="525D4E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电力</w:t>
            </w:r>
          </w:p>
        </w:tc>
        <w:tc>
          <w:tcPr>
            <w:tcW w:w="799" w:type="pct"/>
            <w:vAlign w:val="center"/>
          </w:tcPr>
          <w:p w14:paraId="7130F7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14:textFill>
                  <w14:solidFill>
                    <w14:schemeClr w14:val="tx1"/>
                  </w14:solidFill>
                </w14:textFill>
              </w:rPr>
            </w:pPr>
            <w:r>
              <w:rPr>
                <w:rFonts w:hint="eastAsia" w:cs="Times New Roman"/>
                <w:color w:val="000000" w:themeColor="text1"/>
                <w:spacing w:val="0"/>
                <w:sz w:val="24"/>
                <w:szCs w:val="24"/>
                <w:vertAlign w:val="baseline"/>
                <w:lang w:val="en-US" w:eastAsia="zh-CN"/>
                <w14:textFill>
                  <w14:solidFill>
                    <w14:schemeClr w14:val="tx1"/>
                  </w14:solidFill>
                </w14:textFill>
              </w:rPr>
              <w:t>8002.257</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MWh</w:t>
            </w:r>
          </w:p>
        </w:tc>
        <w:tc>
          <w:tcPr>
            <w:tcW w:w="753" w:type="pct"/>
            <w:vAlign w:val="center"/>
          </w:tcPr>
          <w:p w14:paraId="65872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14:textFill>
                  <w14:solidFill>
                    <w14:schemeClr w14:val="tx1"/>
                  </w14:solidFill>
                </w14:textFill>
              </w:rPr>
            </w:pPr>
            <w:r>
              <w:rPr>
                <w:rFonts w:hint="eastAsia" w:cs="Times New Roman"/>
                <w:color w:val="000000" w:themeColor="text1"/>
                <w:spacing w:val="0"/>
                <w:sz w:val="24"/>
                <w:szCs w:val="24"/>
                <w:vertAlign w:val="baseline"/>
                <w:lang w:val="en-US" w:eastAsia="zh-CN"/>
                <w14:textFill>
                  <w14:solidFill>
                    <w14:schemeClr w14:val="tx1"/>
                  </w14:solidFill>
                </w14:textFill>
              </w:rPr>
              <w:t>8002.257</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MWh</w:t>
            </w:r>
          </w:p>
        </w:tc>
        <w:tc>
          <w:tcPr>
            <w:tcW w:w="711" w:type="pct"/>
            <w:vAlign w:val="center"/>
          </w:tcPr>
          <w:p w14:paraId="675F4A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0</w:t>
            </w:r>
          </w:p>
        </w:tc>
        <w:tc>
          <w:tcPr>
            <w:tcW w:w="1140" w:type="pct"/>
            <w:vAlign w:val="center"/>
          </w:tcPr>
          <w:p w14:paraId="08C8D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eastAsia" w:cs="Times New Roman"/>
                <w:color w:val="000000" w:themeColor="text1"/>
                <w:spacing w:val="0"/>
                <w:sz w:val="24"/>
                <w:szCs w:val="24"/>
                <w:vertAlign w:val="baseline"/>
                <w:lang w:val="en-US" w:eastAsia="zh-CN"/>
                <w14:textFill>
                  <w14:solidFill>
                    <w14:schemeClr w14:val="tx1"/>
                  </w14:solidFill>
                </w14:textFill>
              </w:rPr>
              <w:t>0.6776</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吨CO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/MWh</w:t>
            </w:r>
          </w:p>
        </w:tc>
        <w:tc>
          <w:tcPr>
            <w:tcW w:w="1101" w:type="pct"/>
            <w:vAlign w:val="center"/>
          </w:tcPr>
          <w:p w14:paraId="4729A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采用《企业温室气体排放核算方法与报告指南发电设施(2022年修订版)》CO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排放因子数据</w:t>
            </w:r>
          </w:p>
        </w:tc>
      </w:tr>
      <w:tr w14:paraId="2705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3" w:type="pct"/>
            <w:vAlign w:val="center"/>
          </w:tcPr>
          <w:p w14:paraId="7D425B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热力</w:t>
            </w:r>
          </w:p>
        </w:tc>
        <w:tc>
          <w:tcPr>
            <w:tcW w:w="799" w:type="pct"/>
            <w:vAlign w:val="center"/>
          </w:tcPr>
          <w:p w14:paraId="596362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t>/</w:t>
            </w:r>
          </w:p>
        </w:tc>
        <w:tc>
          <w:tcPr>
            <w:tcW w:w="753" w:type="pct"/>
            <w:vAlign w:val="center"/>
          </w:tcPr>
          <w:p w14:paraId="2A398C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t>/</w:t>
            </w:r>
          </w:p>
        </w:tc>
        <w:tc>
          <w:tcPr>
            <w:tcW w:w="711" w:type="pct"/>
            <w:vAlign w:val="center"/>
          </w:tcPr>
          <w:p w14:paraId="62CAC3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t>/</w:t>
            </w:r>
          </w:p>
        </w:tc>
        <w:tc>
          <w:tcPr>
            <w:tcW w:w="1140" w:type="pct"/>
            <w:vAlign w:val="center"/>
          </w:tcPr>
          <w:p w14:paraId="5B5792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0.11吨CO</w:t>
            </w:r>
            <w:r>
              <w:rPr>
                <w:rFonts w:hint="default" w:ascii="Times New Roman" w:hAnsi="Times New Roman" w:eastAsia="宋体" w:cs="Times New Roman"/>
                <w:color w:val="000000" w:themeColor="text1"/>
                <w:spacing w:val="0"/>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/GJ</w:t>
            </w:r>
          </w:p>
        </w:tc>
        <w:tc>
          <w:tcPr>
            <w:tcW w:w="1101" w:type="pct"/>
            <w:vAlign w:val="center"/>
          </w:tcPr>
          <w:p w14:paraId="22A6C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vertAlign w:val="baseline"/>
                <w:lang w:val="en-US" w:eastAsia="zh-CN"/>
                <w14:textFill>
                  <w14:solidFill>
                    <w14:schemeClr w14:val="tx1"/>
                  </w14:solidFill>
                </w14:textFill>
              </w:rPr>
              <w:t>采用</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《食品、烟草及酒、饮料和精制茶企业温室气体排放核算方法与报告指南</w:t>
            </w:r>
          </w:p>
          <w:p w14:paraId="3765CA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（试行）》CO</w:t>
            </w:r>
            <w:r>
              <w:rPr>
                <w:rFonts w:hint="default" w:ascii="Times New Roman" w:hAnsi="Times New Roman" w:eastAsia="宋体" w:cs="Times New Roman"/>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vertAlign w:val="baseline"/>
                <w:lang w:val="en-US" w:eastAsia="zh-CN"/>
                <w14:textFill>
                  <w14:solidFill>
                    <w14:schemeClr w14:val="tx1"/>
                  </w14:solidFill>
                </w14:textFill>
              </w:rPr>
              <w:t>排放因子数据</w:t>
            </w:r>
          </w:p>
        </w:tc>
      </w:tr>
    </w:tbl>
    <w:p w14:paraId="2B9F5744">
      <w:pPr>
        <w:bidi w:val="0"/>
        <w:ind w:left="0" w:leftChars="0" w:firstLine="0" w:firstLineChars="0"/>
        <w:rPr>
          <w:rFonts w:hint="default" w:ascii="Times New Roman" w:hAnsi="Times New Roman" w:eastAsia="宋体" w:cs="Times New Roman"/>
          <w:color w:val="FF0000"/>
          <w:spacing w:val="0"/>
        </w:rPr>
      </w:pPr>
    </w:p>
    <w:sectPr>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7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491E0">
    <w:pPr>
      <w:pStyle w:val="7"/>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textAlignment w:val="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7278F">
    <w:pPr>
      <w:pStyle w:val="7"/>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45FE0">
                          <w:pPr>
                            <w:pStyle w:val="7"/>
                            <w:keepNext w:val="0"/>
                            <w:keepLines w:val="0"/>
                            <w:pageBreakBefore w:val="0"/>
                            <w:widowControl w:val="0"/>
                            <w:kinsoku/>
                            <w:wordWrap/>
                            <w:overflowPunct/>
                            <w:topLinePunct w:val="0"/>
                            <w:autoSpaceDE/>
                            <w:autoSpaceDN/>
                            <w:bidi w:val="0"/>
                            <w:adjustRightInd/>
                            <w:snapToGrid/>
                            <w:spacing w:line="240" w:lineRule="atLeast"/>
                            <w:ind w:firstLine="0" w:firstLineChars="0"/>
                            <w:textAlignment w:val="auto"/>
                            <w:rPr>
                              <w:sz w:val="21"/>
                              <w:szCs w:val="36"/>
                            </w:rPr>
                          </w:pPr>
                          <w:r>
                            <w:rPr>
                              <w:sz w:val="21"/>
                              <w:szCs w:val="36"/>
                            </w:rPr>
                            <w:fldChar w:fldCharType="begin"/>
                          </w:r>
                          <w:r>
                            <w:rPr>
                              <w:sz w:val="21"/>
                              <w:szCs w:val="36"/>
                            </w:rPr>
                            <w:instrText xml:space="preserve"> PAGE  \* MERGEFORMAT </w:instrText>
                          </w:r>
                          <w:r>
                            <w:rPr>
                              <w:sz w:val="21"/>
                              <w:szCs w:val="36"/>
                            </w:rPr>
                            <w:fldChar w:fldCharType="separate"/>
                          </w:r>
                          <w:r>
                            <w:rPr>
                              <w:sz w:val="21"/>
                              <w:szCs w:val="36"/>
                            </w:rPr>
                            <w:t>3</w:t>
                          </w:r>
                          <w:r>
                            <w:rPr>
                              <w:sz w:val="21"/>
                              <w:szCs w:val="36"/>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9245FE0">
                    <w:pPr>
                      <w:pStyle w:val="7"/>
                      <w:keepNext w:val="0"/>
                      <w:keepLines w:val="0"/>
                      <w:pageBreakBefore w:val="0"/>
                      <w:widowControl w:val="0"/>
                      <w:kinsoku/>
                      <w:wordWrap/>
                      <w:overflowPunct/>
                      <w:topLinePunct w:val="0"/>
                      <w:autoSpaceDE/>
                      <w:autoSpaceDN/>
                      <w:bidi w:val="0"/>
                      <w:adjustRightInd/>
                      <w:snapToGrid/>
                      <w:spacing w:line="240" w:lineRule="atLeast"/>
                      <w:ind w:firstLine="0" w:firstLineChars="0"/>
                      <w:textAlignment w:val="auto"/>
                      <w:rPr>
                        <w:sz w:val="21"/>
                        <w:szCs w:val="36"/>
                      </w:rPr>
                    </w:pPr>
                    <w:r>
                      <w:rPr>
                        <w:sz w:val="21"/>
                        <w:szCs w:val="36"/>
                      </w:rPr>
                      <w:fldChar w:fldCharType="begin"/>
                    </w:r>
                    <w:r>
                      <w:rPr>
                        <w:sz w:val="21"/>
                        <w:szCs w:val="36"/>
                      </w:rPr>
                      <w:instrText xml:space="preserve"> PAGE  \* MERGEFORMAT </w:instrText>
                    </w:r>
                    <w:r>
                      <w:rPr>
                        <w:sz w:val="21"/>
                        <w:szCs w:val="36"/>
                      </w:rPr>
                      <w:fldChar w:fldCharType="separate"/>
                    </w:r>
                    <w:r>
                      <w:rPr>
                        <w:sz w:val="21"/>
                        <w:szCs w:val="36"/>
                      </w:rPr>
                      <w:t>3</w:t>
                    </w:r>
                    <w:r>
                      <w:rPr>
                        <w:sz w:val="21"/>
                        <w:szCs w:val="3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ODcyNTk1YTgxOTE2NWVlYTMzM2FjNTk2MDZmNTUifQ=="/>
  </w:docVars>
  <w:rsids>
    <w:rsidRoot w:val="00000000"/>
    <w:rsid w:val="00C94BE6"/>
    <w:rsid w:val="0339656D"/>
    <w:rsid w:val="05035038"/>
    <w:rsid w:val="08043E1A"/>
    <w:rsid w:val="09681415"/>
    <w:rsid w:val="0AB92A81"/>
    <w:rsid w:val="0E854AD1"/>
    <w:rsid w:val="10697A52"/>
    <w:rsid w:val="12910789"/>
    <w:rsid w:val="1322586D"/>
    <w:rsid w:val="14BD0D70"/>
    <w:rsid w:val="15FE24EF"/>
    <w:rsid w:val="1ABE1FF2"/>
    <w:rsid w:val="1B19760B"/>
    <w:rsid w:val="1C3E199F"/>
    <w:rsid w:val="1C486913"/>
    <w:rsid w:val="1C5A7925"/>
    <w:rsid w:val="1C687D0C"/>
    <w:rsid w:val="1D5F66DA"/>
    <w:rsid w:val="1F27288A"/>
    <w:rsid w:val="1F483135"/>
    <w:rsid w:val="203B012B"/>
    <w:rsid w:val="217C76E8"/>
    <w:rsid w:val="233D55A4"/>
    <w:rsid w:val="253C6762"/>
    <w:rsid w:val="2797730E"/>
    <w:rsid w:val="287A2D5D"/>
    <w:rsid w:val="2D294A3F"/>
    <w:rsid w:val="2D54532D"/>
    <w:rsid w:val="32EC17AD"/>
    <w:rsid w:val="36853193"/>
    <w:rsid w:val="39182037"/>
    <w:rsid w:val="40256414"/>
    <w:rsid w:val="413C1E2F"/>
    <w:rsid w:val="423E2DCC"/>
    <w:rsid w:val="430A25A9"/>
    <w:rsid w:val="45B24329"/>
    <w:rsid w:val="4A431010"/>
    <w:rsid w:val="4BBB2A38"/>
    <w:rsid w:val="51181D74"/>
    <w:rsid w:val="51665F43"/>
    <w:rsid w:val="5237203D"/>
    <w:rsid w:val="54A7591A"/>
    <w:rsid w:val="55484AC2"/>
    <w:rsid w:val="56E91973"/>
    <w:rsid w:val="5CDD3CEA"/>
    <w:rsid w:val="5ECC3FA2"/>
    <w:rsid w:val="5F330974"/>
    <w:rsid w:val="64787967"/>
    <w:rsid w:val="65160B76"/>
    <w:rsid w:val="692460A3"/>
    <w:rsid w:val="6DBC261F"/>
    <w:rsid w:val="6EE0728D"/>
    <w:rsid w:val="70FD00F0"/>
    <w:rsid w:val="71145CA1"/>
    <w:rsid w:val="729A7960"/>
    <w:rsid w:val="7362383F"/>
    <w:rsid w:val="73BB6B13"/>
    <w:rsid w:val="76BF0872"/>
    <w:rsid w:val="77A023A2"/>
    <w:rsid w:val="77E55684"/>
    <w:rsid w:val="790A2C5D"/>
    <w:rsid w:val="7A532E86"/>
    <w:rsid w:val="7B836433"/>
    <w:rsid w:val="7DB74462"/>
    <w:rsid w:val="7F5D6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iPriority="99"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atLeast"/>
      <w:ind w:firstLine="420" w:firstLineChars="200"/>
      <w:jc w:val="both"/>
    </w:pPr>
    <w:rPr>
      <w:rFonts w:ascii="Times New Roman" w:hAnsi="Times New Roman" w:eastAsia="宋体" w:cstheme="minorBidi"/>
      <w:kern w:val="2"/>
      <w:sz w:val="28"/>
      <w:szCs w:val="28"/>
      <w:lang w:val="en-US" w:eastAsia="zh-CN" w:bidi="ar-SA"/>
    </w:rPr>
  </w:style>
  <w:style w:type="paragraph" w:styleId="2">
    <w:name w:val="heading 1"/>
    <w:basedOn w:val="1"/>
    <w:next w:val="1"/>
    <w:qFormat/>
    <w:uiPriority w:val="0"/>
    <w:pPr>
      <w:keepNext/>
      <w:keepLines/>
      <w:spacing w:before="240" w:beforeLines="0" w:beforeAutospacing="0" w:after="240" w:afterLines="0" w:afterAutospacing="0" w:line="480" w:lineRule="atLeast"/>
      <w:ind w:firstLine="0" w:firstLineChars="0"/>
      <w:outlineLvl w:val="0"/>
    </w:pPr>
    <w:rPr>
      <w:b/>
      <w:kern w:val="44"/>
      <w:sz w:val="32"/>
      <w:szCs w:val="32"/>
    </w:rPr>
  </w:style>
  <w:style w:type="paragraph" w:styleId="3">
    <w:name w:val="heading 2"/>
    <w:basedOn w:val="1"/>
    <w:next w:val="1"/>
    <w:unhideWhenUsed/>
    <w:qFormat/>
    <w:uiPriority w:val="0"/>
    <w:pPr>
      <w:keepNext/>
      <w:keepLines/>
      <w:spacing w:before="120" w:beforeLines="0" w:beforeAutospacing="0" w:after="120" w:afterLines="0" w:afterAutospacing="0" w:line="480" w:lineRule="atLeast"/>
      <w:outlineLvl w:val="1"/>
    </w:pPr>
    <w:rPr>
      <w:rFonts w:ascii="Times New Roman" w:hAnsi="Times New Roman" w:eastAsia="宋体"/>
      <w:b/>
      <w:sz w:val="30"/>
      <w:szCs w:val="30"/>
    </w:rPr>
  </w:style>
  <w:style w:type="paragraph" w:styleId="4">
    <w:name w:val="heading 3"/>
    <w:basedOn w:val="1"/>
    <w:next w:val="1"/>
    <w:unhideWhenUsed/>
    <w:qFormat/>
    <w:uiPriority w:val="0"/>
    <w:pPr>
      <w:keepNext/>
      <w:keepLines/>
      <w:spacing w:beforeLines="0" w:beforeAutospacing="0" w:afterLines="0" w:afterAutospacing="0" w:line="480" w:lineRule="atLeast"/>
      <w:outlineLvl w:val="2"/>
    </w:pPr>
    <w:rPr>
      <w:b/>
      <w:sz w:val="28"/>
      <w:szCs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0"/>
    <w:pPr>
      <w:ind w:firstLine="600" w:firstLineChars="200"/>
      <w:jc w:val="both"/>
    </w:pPr>
    <w:rPr>
      <w:rFonts w:ascii="仿宋" w:hAnsi="仿宋" w:cs="仿宋"/>
      <w:sz w:val="30"/>
      <w:szCs w:val="31"/>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563C1"/>
      <w:u w:val="single"/>
    </w:rPr>
  </w:style>
  <w:style w:type="character" w:customStyle="1" w:styleId="13">
    <w:name w:val="font11"/>
    <w:basedOn w:val="11"/>
    <w:qFormat/>
    <w:uiPriority w:val="0"/>
    <w:rPr>
      <w:rFonts w:hint="eastAsia" w:ascii="宋体" w:hAnsi="宋体" w:eastAsia="宋体" w:cs="宋体"/>
      <w:color w:val="000000"/>
      <w:sz w:val="21"/>
      <w:szCs w:val="21"/>
      <w:u w:val="none"/>
    </w:rPr>
  </w:style>
  <w:style w:type="character" w:customStyle="1" w:styleId="14">
    <w:name w:val="font21"/>
    <w:basedOn w:val="11"/>
    <w:qFormat/>
    <w:uiPriority w:val="0"/>
    <w:rPr>
      <w:rFonts w:hint="default" w:ascii="Times New Roman" w:hAnsi="Times New Roman" w:cs="Times New Roman"/>
      <w:color w:val="000000"/>
      <w:sz w:val="21"/>
      <w:szCs w:val="21"/>
      <w:u w:val="none"/>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正文1"/>
    <w:basedOn w:val="1"/>
    <w:qFormat/>
    <w:uiPriority w:val="0"/>
    <w:pPr>
      <w:spacing w:line="240" w:lineRule="auto"/>
      <w:ind w:firstLine="700" w:firstLineChars="250"/>
      <w:jc w:val="both"/>
    </w:pPr>
    <w:rPr>
      <w:rFonts w:eastAsia="楷体_GB2312"/>
      <w:sz w:val="28"/>
      <w:szCs w:val="24"/>
    </w:rPr>
  </w:style>
  <w:style w:type="paragraph" w:customStyle="1" w:styleId="17">
    <w:name w:val="表格文字"/>
    <w:basedOn w:val="1"/>
    <w:qFormat/>
    <w:uiPriority w:val="0"/>
    <w:pPr>
      <w:spacing w:line="240" w:lineRule="auto"/>
      <w:ind w:left="0"/>
      <w:jc w:val="center"/>
    </w:pPr>
    <w:rPr>
      <w:rFonts w:ascii="仿宋" w:hAnsi="仿宋" w:cs="仿宋"/>
      <w:spacing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3980</Words>
  <Characters>4409</Characters>
  <Lines>0</Lines>
  <Paragraphs>0</Paragraphs>
  <TotalTime>0</TotalTime>
  <ScaleCrop>false</ScaleCrop>
  <LinksUpToDate>false</LinksUpToDate>
  <CharactersWithSpaces>4487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2020-12-18T13:49:00Z</dcterms:created>
  <dc:creator>我</dc:creator>
  <cp:lastModifiedBy>阿辉</cp:lastModifiedBy>
  <dcterms:modified xsi:type="dcterms:W3CDTF">2025-04-14T02:40:13Z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566A6523C36A4952B6D942498B10E2BD</vt:lpwstr>
  </property>
  <property fmtid="{D5CDD505-2E9C-101B-9397-08002B2CF9AE}" pid="4" name="KSOTemplateDocerSaveRecord">
    <vt:lpwstr>eyJoZGlkIjoiNTBiMjIwZjM2MTM3MWVhYmM1MzNmMzkxZjQ1MDJhMWUiLCJ1c2VySWQiOiIzNDIyMzEyNTkifQ==</vt:lpwstr>
  </property>
</Properties>
</file>